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8945" w14:textId="77777777" w:rsid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</w:pPr>
    </w:p>
    <w:p w14:paraId="78BD9E23" w14:textId="77777777" w:rsid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</w:pPr>
    </w:p>
    <w:p w14:paraId="39D2A1A5" w14:textId="2D56DF34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</w:pPr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 xml:space="preserve">Nouveau </w:t>
      </w:r>
      <w:proofErr w:type="spellStart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taux</w:t>
      </w:r>
      <w:proofErr w:type="spellEnd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d’intérêt</w:t>
      </w:r>
      <w:proofErr w:type="spellEnd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garanti</w:t>
      </w:r>
      <w:proofErr w:type="spellEnd"/>
    </w:p>
    <w:p w14:paraId="6090047E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</w:pPr>
      <w:proofErr w:type="spellStart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Objet</w:t>
      </w:r>
      <w:proofErr w:type="spellEnd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 xml:space="preserve">: </w:t>
      </w:r>
      <w:proofErr w:type="spellStart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votre</w:t>
      </w:r>
      <w:proofErr w:type="spellEnd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contrat</w:t>
      </w:r>
      <w:proofErr w:type="spellEnd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 xml:space="preserve"> &amp;FISC &amp;</w:t>
      </w:r>
      <w:proofErr w:type="spellStart"/>
      <w:r w:rsidRPr="00BA1B98">
        <w:rPr>
          <w:rFonts w:asciiTheme="minorHAnsi" w:eastAsiaTheme="minorHAnsi" w:hAnsiTheme="minorHAnsi" w:cstheme="minorBidi"/>
          <w:b/>
          <w:sz w:val="22"/>
          <w:szCs w:val="22"/>
          <w:lang w:val="en-GB" w:eastAsia="en-US"/>
        </w:rPr>
        <w:t>contractnummer</w:t>
      </w:r>
      <w:proofErr w:type="spellEnd"/>
    </w:p>
    <w:p w14:paraId="10092F8A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Bruxelles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, date de la poste</w:t>
      </w:r>
    </w:p>
    <w:p w14:paraId="4B718BD6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Cher client,</w:t>
      </w:r>
    </w:p>
    <w:p w14:paraId="5E0E6E40" w14:textId="0579BB48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Via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votre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courtier</w:t>
      </w:r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vous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avez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opté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pour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Vivium</w:t>
      </w:r>
      <w:proofErr w:type="spellEnd"/>
      <w:r w:rsidR="00C8116E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pour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votre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police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d'assurance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-vie. Nous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vous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remercions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pour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votre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confiance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. Les primes de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cette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assurance-vie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sont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(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partiellement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)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investies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dans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une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formule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de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taux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garanti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(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branche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21). Afin de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rester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en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phase avec les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intérêts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à long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terme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sur les marches financiers, nous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avons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décidé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de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diminuer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les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taux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d'intérêt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garantis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,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une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manière de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préserver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vos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intérêts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futurs</w:t>
      </w:r>
      <w:proofErr w:type="spellEnd"/>
      <w:r w:rsidRPr="00BA1B9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. </w:t>
      </w:r>
    </w:p>
    <w:p w14:paraId="6AA88176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line="276" w:lineRule="auto"/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fr-BE" w:eastAsia="en-US"/>
        </w:rPr>
      </w:pPr>
    </w:p>
    <w:p w14:paraId="5D7B8181" w14:textId="6E21F0F4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line="276" w:lineRule="auto"/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</w:pPr>
      <w:proofErr w:type="spellStart"/>
      <w:r w:rsidRPr="00BA1B98"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>Nouveau</w:t>
      </w:r>
      <w:proofErr w:type="spellEnd"/>
      <w:r w:rsidRPr="00BA1B98"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>taux</w:t>
      </w:r>
      <w:proofErr w:type="spellEnd"/>
      <w:r w:rsidRPr="00BA1B98"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>d’intérêt</w:t>
      </w:r>
      <w:proofErr w:type="spellEnd"/>
      <w:r w:rsidRPr="00BA1B98"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>garanti</w:t>
      </w:r>
      <w:proofErr w:type="spellEnd"/>
      <w:r w:rsidRPr="00BA1B98"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 xml:space="preserve"> de </w:t>
      </w:r>
      <w:r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>0,25</w:t>
      </w:r>
      <w:r w:rsidRPr="00BA1B98"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  <w:t>%</w:t>
      </w:r>
    </w:p>
    <w:p w14:paraId="66241272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line="276" w:lineRule="auto"/>
        <w:rPr>
          <w:rFonts w:asciiTheme="minorHAnsi" w:eastAsiaTheme="minorHAnsi" w:hAnsiTheme="minorHAnsi" w:cstheme="minorBidi"/>
          <w:b/>
          <w:bCs/>
          <w:color w:val="002060"/>
          <w:sz w:val="22"/>
          <w:szCs w:val="22"/>
          <w:lang w:eastAsia="en-US"/>
        </w:rPr>
      </w:pPr>
    </w:p>
    <w:p w14:paraId="10E47E6D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Nous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adaptons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le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taux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d’intérêt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garanti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pour </w:t>
      </w:r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les nouveaux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versements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sur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votre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contrat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: </w:t>
      </w:r>
    </w:p>
    <w:p w14:paraId="28D2DB5D" w14:textId="46167203" w:rsidR="00BA1B98" w:rsidRPr="00BA1B98" w:rsidRDefault="00BA1B98" w:rsidP="00BA1B98">
      <w:pPr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les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versements</w:t>
      </w:r>
      <w:proofErr w:type="spellEnd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libres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que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vous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pourrez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effectuer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dans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votre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contrat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seront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capitalisés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à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partir</w:t>
      </w:r>
      <w:proofErr w:type="spellEnd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 du 30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avril</w:t>
      </w:r>
      <w:proofErr w:type="spellEnd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 2022</w:t>
      </w:r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à un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taux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d'intérêt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garanti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de </w:t>
      </w:r>
      <w:r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0,25</w:t>
      </w:r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%.</w:t>
      </w:r>
    </w:p>
    <w:p w14:paraId="3C36485E" w14:textId="77777777" w:rsidR="00BA1B98" w:rsidRPr="00BA1B98" w:rsidRDefault="00BA1B98" w:rsidP="00BA1B98">
      <w:pPr>
        <w:numPr>
          <w:ilvl w:val="0"/>
          <w:numId w:val="3"/>
        </w:num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les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versements</w:t>
      </w:r>
      <w:proofErr w:type="spellEnd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 des primes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périodiques</w:t>
      </w:r>
      <w:proofErr w:type="spellEnd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prévues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dans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ce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contrat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seront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capitalisés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à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ce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taux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d'intérêt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à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partir</w:t>
      </w:r>
      <w:proofErr w:type="spellEnd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 du 1er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juin</w:t>
      </w:r>
      <w:proofErr w:type="spellEnd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 xml:space="preserve"> 2022</w:t>
      </w:r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.</w:t>
      </w:r>
    </w:p>
    <w:p w14:paraId="0982FFDD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L'adaptation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de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taux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d’intérêt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n'a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val="en-GB" w:eastAsia="en-US"/>
        </w:rPr>
        <w:t>aucune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conséquence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pour les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versements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effectués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avant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le 30 </w:t>
      </w:r>
      <w:proofErr w:type="spellStart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avril</w:t>
      </w:r>
      <w:proofErr w:type="spellEnd"/>
      <w:r w:rsidRPr="00BA1B98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2022.</w:t>
      </w:r>
    </w:p>
    <w:p w14:paraId="019E803B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</w:p>
    <w:p w14:paraId="38A9FABA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spacing w:after="200" w:line="276" w:lineRule="auto"/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</w:pP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Rien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ne change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en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ce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qui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concerne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la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garantie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de 4,75%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ou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3,25% sur les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versements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à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venir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prévus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par le plan de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paiement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tel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que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décrit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dans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vos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conditions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particulières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.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En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d’autres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termes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, pour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votre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contrat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dans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duquel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une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partie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de la prime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est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capitalisée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à 4,75 %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ou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3,25 %,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ce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taux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est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maintenu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pour les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versements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déjà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effectués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que pour les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versements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futur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highlight w:val="lightGray"/>
          <w:lang w:val="en-GB" w:eastAsia="en-US"/>
        </w:rPr>
        <w:t>. (&amp;4.75)</w:t>
      </w:r>
    </w:p>
    <w:p w14:paraId="6C047A40" w14:textId="7AB41A1C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</w:pPr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Pour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toute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question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ou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tout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complément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d’information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,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n’hésitez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pas à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contacter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votre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courtier</w:t>
      </w:r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ou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</w:t>
      </w: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notre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Service Center Life. </w:t>
      </w:r>
    </w:p>
    <w:p w14:paraId="02D2D5E6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</w:pPr>
    </w:p>
    <w:p w14:paraId="6D649AB7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</w:pPr>
      <w:proofErr w:type="spellStart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Meillleures</w:t>
      </w:r>
      <w:proofErr w:type="spellEnd"/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 salutations,</w:t>
      </w:r>
    </w:p>
    <w:p w14:paraId="4790473C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</w:pPr>
    </w:p>
    <w:p w14:paraId="050990CF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</w:pPr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 xml:space="preserve">Jeroen Spinoy </w:t>
      </w:r>
    </w:p>
    <w:p w14:paraId="5B04F7AA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</w:pPr>
      <w:r w:rsidRPr="00BA1B98">
        <w:rPr>
          <w:rFonts w:asciiTheme="minorHAnsi" w:eastAsiaTheme="minorHAnsi" w:hAnsiTheme="minorHAnsi" w:cstheme="minorHAnsi"/>
          <w:bCs/>
          <w:sz w:val="22"/>
          <w:szCs w:val="22"/>
          <w:lang w:val="en-GB" w:eastAsia="en-US"/>
        </w:rPr>
        <w:t>Directeur Business Development Life &amp; EB</w:t>
      </w:r>
    </w:p>
    <w:p w14:paraId="689E23E0" w14:textId="77777777" w:rsidR="00BA1B98" w:rsidRPr="00BA1B98" w:rsidRDefault="00BA1B98" w:rsidP="00BA1B98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GB" w:eastAsia="en-US"/>
        </w:rPr>
      </w:pPr>
    </w:p>
    <w:p w14:paraId="78040C0B" w14:textId="77777777" w:rsidR="00F45CDC" w:rsidRPr="00BA1B98" w:rsidRDefault="00F45CDC" w:rsidP="00BA1B98">
      <w:pPr>
        <w:rPr>
          <w:lang w:val="en-GB"/>
        </w:rPr>
      </w:pPr>
    </w:p>
    <w:sectPr w:rsidR="00F45CDC" w:rsidRPr="00BA1B98" w:rsidSect="00165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38" w:right="850" w:bottom="1701" w:left="85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855C" w14:textId="77777777" w:rsidR="00342CFB" w:rsidRDefault="00342CFB">
      <w:r>
        <w:separator/>
      </w:r>
    </w:p>
  </w:endnote>
  <w:endnote w:type="continuationSeparator" w:id="0">
    <w:p w14:paraId="6AD562FC" w14:textId="77777777" w:rsidR="00342CFB" w:rsidRDefault="0034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CB06" w14:textId="77777777" w:rsidR="003E44CA" w:rsidRDefault="003E44C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A9882C3" w14:textId="77777777" w:rsidR="003E44CA" w:rsidRDefault="003E4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A756" w14:textId="77777777" w:rsidR="009A28DF" w:rsidRDefault="009A2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9"/>
      <w:gridCol w:w="846"/>
      <w:gridCol w:w="3690"/>
      <w:gridCol w:w="2410"/>
      <w:gridCol w:w="2131"/>
    </w:tblGrid>
    <w:tr w:rsidR="009A28DF" w14:paraId="7A90822A" w14:textId="77777777" w:rsidTr="009A28DF">
      <w:trPr>
        <w:trHeight w:val="195"/>
      </w:trPr>
      <w:tc>
        <w:tcPr>
          <w:tcW w:w="1139" w:type="dxa"/>
        </w:tcPr>
        <w:p w14:paraId="02DE57AA" w14:textId="77777777" w:rsidR="009A28DF" w:rsidRDefault="009A28DF" w:rsidP="009A28DF">
          <w:pPr>
            <w:pStyle w:val="Footer"/>
            <w:tabs>
              <w:tab w:val="clear" w:pos="340"/>
              <w:tab w:val="clear" w:pos="680"/>
              <w:tab w:val="clear" w:pos="1021"/>
            </w:tabs>
            <w:spacing w:line="220" w:lineRule="exact"/>
            <w:jc w:val="right"/>
            <w:rPr>
              <w:rFonts w:ascii="Gill Sans MT" w:hAnsi="Gill Sans MT"/>
              <w:color w:val="1F497D" w:themeColor="text2"/>
              <w:sz w:val="12"/>
              <w:szCs w:val="12"/>
            </w:rPr>
          </w:pPr>
        </w:p>
      </w:tc>
      <w:tc>
        <w:tcPr>
          <w:tcW w:w="846" w:type="dxa"/>
        </w:tcPr>
        <w:p w14:paraId="26D5C158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</w:p>
      </w:tc>
      <w:tc>
        <w:tcPr>
          <w:tcW w:w="3690" w:type="dxa"/>
          <w:hideMark/>
        </w:tcPr>
        <w:p w14:paraId="7167035E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  <w:lang w:val="fr-BE"/>
            </w:rPr>
          </w:pPr>
          <w:r>
            <w:rPr>
              <w:rFonts w:ascii="Gill Sans MT" w:hAnsi="Gill Sans MT"/>
              <w:color w:val="1F497D" w:themeColor="text2"/>
              <w:szCs w:val="16"/>
              <w:lang w:val="fr-BE"/>
            </w:rPr>
            <w:t>Vivium</w:t>
          </w:r>
          <w:r>
            <w:rPr>
              <w:rFonts w:ascii="Gill Sans MT" w:hAnsi="Gill Sans MT"/>
              <w:color w:val="1F497D" w:themeColor="text2"/>
              <w:sz w:val="12"/>
              <w:szCs w:val="12"/>
              <w:lang w:val="fr-BE"/>
            </w:rPr>
            <w:t xml:space="preserve"> est une marque de P&amp;V Assurances sc</w:t>
          </w:r>
        </w:p>
      </w:tc>
      <w:tc>
        <w:tcPr>
          <w:tcW w:w="2410" w:type="dxa"/>
          <w:hideMark/>
        </w:tcPr>
        <w:p w14:paraId="17F9190C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  <w:r>
            <w:rPr>
              <w:rFonts w:ascii="Gill Sans MT" w:hAnsi="Gill Sans MT"/>
              <w:color w:val="1F497D" w:themeColor="text2"/>
              <w:szCs w:val="16"/>
            </w:rPr>
            <w:t>Siège social</w:t>
          </w:r>
        </w:p>
      </w:tc>
      <w:tc>
        <w:tcPr>
          <w:tcW w:w="2131" w:type="dxa"/>
          <w:hideMark/>
        </w:tcPr>
        <w:p w14:paraId="4A42AA6A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  <w:r>
            <w:rPr>
              <w:rFonts w:ascii="Gill Sans MT" w:hAnsi="Gill Sans MT"/>
              <w:color w:val="1F497D" w:themeColor="text2"/>
              <w:szCs w:val="16"/>
            </w:rPr>
            <w:t>Siège d’Anvers</w:t>
          </w:r>
        </w:p>
      </w:tc>
    </w:tr>
    <w:tr w:rsidR="009A28DF" w14:paraId="2697CE2F" w14:textId="77777777" w:rsidTr="009A28DF">
      <w:trPr>
        <w:trHeight w:val="195"/>
      </w:trPr>
      <w:tc>
        <w:tcPr>
          <w:tcW w:w="1139" w:type="dxa"/>
        </w:tcPr>
        <w:p w14:paraId="14DE8769" w14:textId="77777777" w:rsidR="009A28DF" w:rsidRDefault="009A28DF" w:rsidP="009A28DF">
          <w:pPr>
            <w:pStyle w:val="Footer"/>
            <w:tabs>
              <w:tab w:val="clear" w:pos="340"/>
              <w:tab w:val="clear" w:pos="680"/>
              <w:tab w:val="clear" w:pos="1021"/>
            </w:tabs>
            <w:spacing w:line="220" w:lineRule="exact"/>
            <w:jc w:val="right"/>
            <w:rPr>
              <w:rFonts w:ascii="Gill Sans MT" w:hAnsi="Gill Sans MT"/>
              <w:color w:val="1F497D" w:themeColor="text2"/>
              <w:sz w:val="12"/>
              <w:szCs w:val="12"/>
            </w:rPr>
          </w:pPr>
        </w:p>
      </w:tc>
      <w:tc>
        <w:tcPr>
          <w:tcW w:w="846" w:type="dxa"/>
        </w:tcPr>
        <w:p w14:paraId="37FD8E41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</w:p>
      </w:tc>
      <w:tc>
        <w:tcPr>
          <w:tcW w:w="3690" w:type="dxa"/>
          <w:hideMark/>
        </w:tcPr>
        <w:p w14:paraId="1547158E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  <w:lang w:val="fr-BE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fr-BE"/>
            </w:rPr>
            <w:t>Entreprise d’assurance agréée sous le code 0058</w:t>
          </w:r>
        </w:p>
      </w:tc>
      <w:tc>
        <w:tcPr>
          <w:tcW w:w="2410" w:type="dxa"/>
          <w:hideMark/>
        </w:tcPr>
        <w:p w14:paraId="63129611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  <w:t>Rue Royale 151 – 1210 Bruxelles</w:t>
          </w:r>
        </w:p>
      </w:tc>
      <w:tc>
        <w:tcPr>
          <w:tcW w:w="2131" w:type="dxa"/>
          <w:hideMark/>
        </w:tcPr>
        <w:p w14:paraId="5B13EDD4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  <w:t>Desguinlei 92 – 2018 Antwerpen</w:t>
          </w:r>
        </w:p>
      </w:tc>
    </w:tr>
    <w:tr w:rsidR="009A28DF" w14:paraId="61816E71" w14:textId="77777777" w:rsidTr="009A28DF">
      <w:trPr>
        <w:trHeight w:val="195"/>
      </w:trPr>
      <w:tc>
        <w:tcPr>
          <w:tcW w:w="1139" w:type="dxa"/>
          <w:hideMark/>
        </w:tcPr>
        <w:p w14:paraId="28CDB7B1" w14:textId="77777777" w:rsidR="009A28DF" w:rsidRDefault="009A28DF" w:rsidP="009A28DF">
          <w:pPr>
            <w:pStyle w:val="Footer"/>
            <w:tabs>
              <w:tab w:val="clear" w:pos="340"/>
              <w:tab w:val="clear" w:pos="680"/>
              <w:tab w:val="clear" w:pos="1021"/>
            </w:tabs>
            <w:spacing w:line="220" w:lineRule="exact"/>
            <w:rPr>
              <w:rFonts w:ascii="Gill Sans MT" w:hAnsi="Gill Sans MT"/>
              <w:color w:val="1F497D" w:themeColor="text2"/>
              <w:szCs w:val="16"/>
            </w:rPr>
          </w:pPr>
          <w:r>
            <w:rPr>
              <w:rFonts w:ascii="Gill Sans MT" w:hAnsi="Gill Sans MT"/>
              <w:color w:val="1F497D" w:themeColor="text2"/>
              <w:szCs w:val="16"/>
            </w:rPr>
            <w:t>www.vivium.be</w:t>
          </w:r>
        </w:p>
      </w:tc>
      <w:tc>
        <w:tcPr>
          <w:tcW w:w="846" w:type="dxa"/>
        </w:tcPr>
        <w:p w14:paraId="770CDA3D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nl-NL"/>
            </w:rPr>
          </w:pPr>
        </w:p>
      </w:tc>
      <w:tc>
        <w:tcPr>
          <w:tcW w:w="3690" w:type="dxa"/>
          <w:hideMark/>
        </w:tcPr>
        <w:p w14:paraId="431D474D" w14:textId="77777777" w:rsidR="009A28DF" w:rsidRDefault="009A28DF" w:rsidP="009A28DF">
          <w:pPr>
            <w:pStyle w:val="Footer"/>
            <w:tabs>
              <w:tab w:val="clear" w:pos="4153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da-DK"/>
            </w:rPr>
            <w:t xml:space="preserve">TVA </w:t>
          </w:r>
          <w:r>
            <w:rPr>
              <w:rFonts w:ascii="Gill Sans MT" w:hAnsi="Gill Sans MT"/>
              <w:color w:val="1F497D" w:themeColor="text2"/>
              <w:szCs w:val="16"/>
              <w:lang w:val="da-DK"/>
            </w:rPr>
            <w:t xml:space="preserve">BE 0402 236 531 - </w:t>
          </w:r>
          <w:r>
            <w:rPr>
              <w:rFonts w:ascii="Gill Sans MT" w:hAnsi="Gill Sans MT"/>
              <w:color w:val="1F497D" w:themeColor="text2"/>
              <w:sz w:val="12"/>
              <w:szCs w:val="12"/>
              <w:lang w:val="da-DK"/>
            </w:rPr>
            <w:t xml:space="preserve">RPM </w:t>
          </w:r>
          <w:r>
            <w:rPr>
              <w:rFonts w:ascii="Gill Sans MT" w:hAnsi="Gill Sans MT"/>
              <w:color w:val="1F497D" w:themeColor="text2"/>
              <w:szCs w:val="16"/>
              <w:lang w:val="da-DK"/>
            </w:rPr>
            <w:t>Bruxelles</w:t>
          </w:r>
        </w:p>
      </w:tc>
      <w:tc>
        <w:tcPr>
          <w:tcW w:w="2410" w:type="dxa"/>
          <w:hideMark/>
        </w:tcPr>
        <w:p w14:paraId="5545399A" w14:textId="77777777" w:rsidR="009A28DF" w:rsidRDefault="009A28DF" w:rsidP="009A28DF">
          <w:pPr>
            <w:pStyle w:val="Footer"/>
            <w:tabs>
              <w:tab w:val="clear" w:pos="340"/>
              <w:tab w:val="clear" w:pos="680"/>
              <w:tab w:val="clear" w:pos="1021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  <w:t xml:space="preserve">TEL. </w:t>
          </w:r>
          <w:r>
            <w:rPr>
              <w:rFonts w:ascii="Gill Sans MT" w:hAnsi="Gill Sans MT"/>
              <w:color w:val="1F497D" w:themeColor="text2"/>
              <w:szCs w:val="16"/>
              <w:lang w:val="en-GB"/>
            </w:rPr>
            <w:t>+32 (0)2 406 35 11</w:t>
          </w:r>
        </w:p>
      </w:tc>
      <w:tc>
        <w:tcPr>
          <w:tcW w:w="2131" w:type="dxa"/>
          <w:hideMark/>
        </w:tcPr>
        <w:p w14:paraId="5BBFA09C" w14:textId="1315CC3C" w:rsidR="009A28DF" w:rsidRDefault="009A28DF" w:rsidP="009A28DF">
          <w:pPr>
            <w:pStyle w:val="Footer"/>
            <w:tabs>
              <w:tab w:val="clear" w:pos="340"/>
              <w:tab w:val="clear" w:pos="680"/>
              <w:tab w:val="clear" w:pos="1021"/>
            </w:tabs>
            <w:spacing w:line="220" w:lineRule="exact"/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</w:pPr>
          <w:r>
            <w:rPr>
              <w:rFonts w:ascii="Gill Sans MT" w:hAnsi="Gill Sans MT"/>
              <w:color w:val="1F497D" w:themeColor="text2"/>
              <w:sz w:val="12"/>
              <w:szCs w:val="12"/>
              <w:lang w:val="en-GB"/>
            </w:rPr>
            <w:t xml:space="preserve">TEL. </w:t>
          </w:r>
          <w:r>
            <w:rPr>
              <w:rFonts w:ascii="Gill Sans MT" w:hAnsi="Gill Sans MT"/>
              <w:color w:val="1F497D" w:themeColor="text2"/>
              <w:szCs w:val="16"/>
              <w:lang w:val="en-GB"/>
            </w:rPr>
            <w:t>+32 (0)3 244 66 88</w:t>
          </w:r>
        </w:p>
      </w:tc>
    </w:tr>
  </w:tbl>
  <w:p w14:paraId="3D76C2DD" w14:textId="77777777" w:rsidR="003E44CA" w:rsidRPr="0051429E" w:rsidRDefault="003E44CA" w:rsidP="00855536">
    <w:pPr>
      <w:pStyle w:val="Footer"/>
      <w:tabs>
        <w:tab w:val="clear" w:pos="4153"/>
        <w:tab w:val="clear" w:pos="8306"/>
      </w:tabs>
      <w:spacing w:line="220" w:lineRule="exact"/>
      <w:rPr>
        <w:rFonts w:ascii="TradeGothic LT Light" w:hAnsi="TradeGothic LT Light"/>
        <w:color w:val="1F497D" w:themeColor="text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0D73" w14:textId="77777777" w:rsidR="00342CFB" w:rsidRDefault="00342CFB">
      <w:r>
        <w:separator/>
      </w:r>
    </w:p>
  </w:footnote>
  <w:footnote w:type="continuationSeparator" w:id="0">
    <w:p w14:paraId="22CFB394" w14:textId="77777777" w:rsidR="00342CFB" w:rsidRDefault="0034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2466" w14:textId="77777777" w:rsidR="009A28DF" w:rsidRDefault="009A2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1BF6" w14:textId="77777777" w:rsidR="00A413C8" w:rsidRPr="00986D2C" w:rsidRDefault="00A413C8" w:rsidP="00A413C8">
    <w:pPr>
      <w:pStyle w:val="Header"/>
    </w:pPr>
    <w:r>
      <w:rPr>
        <w:lang w:val="en-GB"/>
      </w:rPr>
      <w:drawing>
        <wp:anchor distT="0" distB="0" distL="114300" distR="114300" simplePos="0" relativeHeight="251660288" behindDoc="0" locked="0" layoutInCell="1" allowOverlap="1" wp14:anchorId="0359B0CE" wp14:editId="22E07979">
          <wp:simplePos x="0" y="0"/>
          <wp:positionH relativeFrom="column">
            <wp:posOffset>2540</wp:posOffset>
          </wp:positionH>
          <wp:positionV relativeFrom="paragraph">
            <wp:posOffset>81022</wp:posOffset>
          </wp:positionV>
          <wp:extent cx="1260000" cy="558000"/>
          <wp:effectExtent l="0" t="0" r="0" b="0"/>
          <wp:wrapNone/>
          <wp:docPr id="3" name="Picture 3" descr="VIVIU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VIU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BAFA5" w14:textId="77777777" w:rsidR="003E44CA" w:rsidRPr="00A413C8" w:rsidRDefault="003E44CA" w:rsidP="00A41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F51A" w14:textId="77777777" w:rsidR="003E44CA" w:rsidRPr="00986D2C" w:rsidRDefault="003E44CA" w:rsidP="00956171">
    <w:pPr>
      <w:pStyle w:val="Header"/>
    </w:pPr>
    <w:r>
      <w:rPr>
        <w:lang w:val="en-GB"/>
      </w:rPr>
      <w:drawing>
        <wp:anchor distT="0" distB="0" distL="114300" distR="114300" simplePos="0" relativeHeight="251658240" behindDoc="0" locked="0" layoutInCell="1" allowOverlap="1" wp14:anchorId="18A0D7FF" wp14:editId="6D8B1E96">
          <wp:simplePos x="0" y="0"/>
          <wp:positionH relativeFrom="column">
            <wp:posOffset>2540</wp:posOffset>
          </wp:positionH>
          <wp:positionV relativeFrom="paragraph">
            <wp:posOffset>81022</wp:posOffset>
          </wp:positionV>
          <wp:extent cx="1260000" cy="558000"/>
          <wp:effectExtent l="0" t="0" r="0" b="0"/>
          <wp:wrapNone/>
          <wp:docPr id="9" name="Picture 9" descr="VIVIU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VIU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B37"/>
    <w:multiLevelType w:val="hybridMultilevel"/>
    <w:tmpl w:val="BFF21D54"/>
    <w:lvl w:ilvl="0" w:tplc="5F3ABF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7A59"/>
    <w:multiLevelType w:val="multilevel"/>
    <w:tmpl w:val="F8EACE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DF00A85"/>
    <w:multiLevelType w:val="singleLevel"/>
    <w:tmpl w:val="8D928474"/>
    <w:lvl w:ilvl="0">
      <w:numFmt w:val="decimal"/>
      <w:lvlText w:val="%1"/>
      <w:legacy w:legacy="1" w:legacySpace="0" w:legacyIndent="0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7E"/>
    <w:rsid w:val="00000FC0"/>
    <w:rsid w:val="000532CE"/>
    <w:rsid w:val="00071438"/>
    <w:rsid w:val="000A60A3"/>
    <w:rsid w:val="000B7014"/>
    <w:rsid w:val="000C563C"/>
    <w:rsid w:val="000F3D03"/>
    <w:rsid w:val="00133902"/>
    <w:rsid w:val="00154CF3"/>
    <w:rsid w:val="00165626"/>
    <w:rsid w:val="0019766A"/>
    <w:rsid w:val="00216DBC"/>
    <w:rsid w:val="00222CEC"/>
    <w:rsid w:val="0026085A"/>
    <w:rsid w:val="00275BFE"/>
    <w:rsid w:val="00312F97"/>
    <w:rsid w:val="00342CFB"/>
    <w:rsid w:val="00365D61"/>
    <w:rsid w:val="003E44CA"/>
    <w:rsid w:val="00447205"/>
    <w:rsid w:val="00467368"/>
    <w:rsid w:val="00492504"/>
    <w:rsid w:val="004B0E5F"/>
    <w:rsid w:val="004B517E"/>
    <w:rsid w:val="004E0AA6"/>
    <w:rsid w:val="0051429E"/>
    <w:rsid w:val="0052222D"/>
    <w:rsid w:val="00557087"/>
    <w:rsid w:val="00572702"/>
    <w:rsid w:val="00590A78"/>
    <w:rsid w:val="005B3D1A"/>
    <w:rsid w:val="00602C46"/>
    <w:rsid w:val="0063309A"/>
    <w:rsid w:val="00642534"/>
    <w:rsid w:val="00642BBA"/>
    <w:rsid w:val="006600DC"/>
    <w:rsid w:val="006623C5"/>
    <w:rsid w:val="00692A6A"/>
    <w:rsid w:val="00693BAC"/>
    <w:rsid w:val="006B2C93"/>
    <w:rsid w:val="006C30DE"/>
    <w:rsid w:val="00704FB5"/>
    <w:rsid w:val="00712A02"/>
    <w:rsid w:val="00736378"/>
    <w:rsid w:val="00737C5B"/>
    <w:rsid w:val="007A4FF5"/>
    <w:rsid w:val="00834A07"/>
    <w:rsid w:val="00855536"/>
    <w:rsid w:val="00870A25"/>
    <w:rsid w:val="008B4FAB"/>
    <w:rsid w:val="00926C22"/>
    <w:rsid w:val="00947F88"/>
    <w:rsid w:val="00956171"/>
    <w:rsid w:val="00986D2C"/>
    <w:rsid w:val="009A28DF"/>
    <w:rsid w:val="009E1ECC"/>
    <w:rsid w:val="00A233CD"/>
    <w:rsid w:val="00A273C5"/>
    <w:rsid w:val="00A413C8"/>
    <w:rsid w:val="00A61F80"/>
    <w:rsid w:val="00AA0FDB"/>
    <w:rsid w:val="00AB03FB"/>
    <w:rsid w:val="00AB4B9E"/>
    <w:rsid w:val="00B35102"/>
    <w:rsid w:val="00B81A25"/>
    <w:rsid w:val="00BA1B98"/>
    <w:rsid w:val="00BE4EDF"/>
    <w:rsid w:val="00C22BAE"/>
    <w:rsid w:val="00C325A8"/>
    <w:rsid w:val="00C53462"/>
    <w:rsid w:val="00C8116E"/>
    <w:rsid w:val="00C87903"/>
    <w:rsid w:val="00C87AD1"/>
    <w:rsid w:val="00CA6C4C"/>
    <w:rsid w:val="00D23DFF"/>
    <w:rsid w:val="00D72CB7"/>
    <w:rsid w:val="00DC142A"/>
    <w:rsid w:val="00E33AE3"/>
    <w:rsid w:val="00E55430"/>
    <w:rsid w:val="00E80B51"/>
    <w:rsid w:val="00E8583C"/>
    <w:rsid w:val="00E90176"/>
    <w:rsid w:val="00EF2055"/>
    <w:rsid w:val="00F3632E"/>
    <w:rsid w:val="00F45CDC"/>
    <w:rsid w:val="00F75360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4:docId w14:val="51E99C9E"/>
  <w15:docId w15:val="{118AB015-51B1-48D4-9F0C-75EA987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CEC"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nl-B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340"/>
        <w:tab w:val="left" w:pos="0"/>
        <w:tab w:val="left" w:pos="360"/>
      </w:tabs>
      <w:ind w:left="431" w:hanging="431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tabs>
        <w:tab w:val="clear" w:pos="360"/>
        <w:tab w:val="left" w:pos="720"/>
      </w:tabs>
      <w:ind w:left="578" w:hanging="578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1080"/>
      </w:tabs>
      <w:ind w:left="862" w:hanging="862"/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clear" w:pos="1080"/>
        <w:tab w:val="left" w:pos="1134"/>
      </w:tabs>
      <w:ind w:left="1009" w:hanging="1009"/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ind w:left="0" w:firstLine="0"/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ind w:left="0" w:firstLine="0"/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rPr>
      <w:lang w:val="nl-NL"/>
    </w:rPr>
  </w:style>
  <w:style w:type="paragraph" w:customStyle="1" w:styleId="BulletList1">
    <w:name w:val="Bullet List 1"/>
    <w:basedOn w:val="Normal"/>
    <w:pPr>
      <w:ind w:left="284" w:hanging="284"/>
    </w:pPr>
  </w:style>
  <w:style w:type="paragraph" w:customStyle="1" w:styleId="Bullet1">
    <w:name w:val="Bullet 1"/>
    <w:basedOn w:val="Normal"/>
    <w:pPr>
      <w:ind w:left="284" w:hanging="284"/>
    </w:pPr>
  </w:style>
  <w:style w:type="paragraph" w:customStyle="1" w:styleId="Bullet2">
    <w:name w:val="Bullet 2"/>
    <w:basedOn w:val="Normal"/>
    <w:pPr>
      <w:ind w:left="567" w:hanging="284"/>
    </w:pPr>
  </w:style>
  <w:style w:type="paragraph" w:customStyle="1" w:styleId="Bullet3">
    <w:name w:val="Bullet 3"/>
    <w:basedOn w:val="Normal"/>
    <w:pPr>
      <w:ind w:left="851" w:hanging="284"/>
    </w:pPr>
  </w:style>
  <w:style w:type="paragraph" w:customStyle="1" w:styleId="BulletList2">
    <w:name w:val="Bullet List 2"/>
    <w:basedOn w:val="Normal"/>
    <w:pPr>
      <w:ind w:left="567" w:hanging="284"/>
    </w:pPr>
  </w:style>
  <w:style w:type="paragraph" w:customStyle="1" w:styleId="BulletList3">
    <w:name w:val="Bullet List 3"/>
    <w:basedOn w:val="Normal"/>
    <w:pPr>
      <w:ind w:left="851" w:hanging="284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line="280" w:lineRule="atLeast"/>
    </w:pPr>
    <w:rPr>
      <w:rFonts w:ascii="Times New Roman" w:hAnsi="Times New Roman"/>
      <w:noProof/>
    </w:rPr>
  </w:style>
  <w:style w:type="paragraph" w:customStyle="1" w:styleId="BodyText1">
    <w:name w:val="Body Text 1"/>
    <w:basedOn w:val="BodyText"/>
    <w:autoRedefine/>
    <w:rPr>
      <w:i/>
      <w:sz w:val="16"/>
    </w:rPr>
  </w:style>
  <w:style w:type="paragraph" w:styleId="BodyText2">
    <w:name w:val="Body Text 2"/>
    <w:basedOn w:val="Normal"/>
    <w:pPr>
      <w:tabs>
        <w:tab w:val="left" w:pos="3060"/>
      </w:tabs>
      <w:ind w:left="1701"/>
    </w:pPr>
    <w:rPr>
      <w:rFonts w:ascii="Times New Roman" w:hAnsi="Times New Roman"/>
      <w:sz w:val="18"/>
    </w:rPr>
  </w:style>
  <w:style w:type="paragraph" w:styleId="BodyText3">
    <w:name w:val="Body Text 3"/>
    <w:basedOn w:val="Normal"/>
    <w:next w:val="Normal"/>
    <w:rPr>
      <w:lang w:val="nl-NL"/>
    </w:rPr>
  </w:style>
  <w:style w:type="paragraph" w:customStyle="1" w:styleId="ListBullet0">
    <w:name w:val="List Bullet 0"/>
    <w:basedOn w:val="Normal"/>
    <w:next w:val="Normal"/>
    <w:pPr>
      <w:ind w:left="284" w:hanging="284"/>
    </w:pPr>
    <w:rPr>
      <w:lang w:val="nl-NL"/>
    </w:rPr>
  </w:style>
  <w:style w:type="paragraph" w:customStyle="1" w:styleId="ListBullet1">
    <w:name w:val="List Bullet 1"/>
    <w:basedOn w:val="ListBullet0"/>
    <w:pPr>
      <w:spacing w:before="120"/>
    </w:pPr>
  </w:style>
  <w:style w:type="paragraph" w:styleId="ListBullet2">
    <w:name w:val="List Bullet 2"/>
    <w:basedOn w:val="ListBullet1"/>
    <w:pPr>
      <w:spacing w:before="0"/>
      <w:ind w:left="568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pos="8789"/>
      </w:tabs>
    </w:pPr>
    <w:rPr>
      <w:b/>
      <w:caps/>
      <w:noProof/>
      <w:sz w:val="20"/>
    </w:rPr>
  </w:style>
  <w:style w:type="paragraph" w:styleId="TOC2">
    <w:name w:val="toc 2"/>
    <w:basedOn w:val="TOC1"/>
    <w:next w:val="Normal"/>
    <w:semiHidden/>
    <w:pPr>
      <w:spacing w:before="40"/>
      <w:ind w:left="284"/>
    </w:pPr>
    <w:rPr>
      <w:b w:val="0"/>
    </w:rPr>
  </w:style>
  <w:style w:type="paragraph" w:styleId="TOC3">
    <w:name w:val="toc 3"/>
    <w:basedOn w:val="TOC2"/>
    <w:next w:val="Normal"/>
    <w:semiHidden/>
    <w:pPr>
      <w:ind w:left="567"/>
    </w:pPr>
    <w:rPr>
      <w:b/>
    </w:rPr>
  </w:style>
  <w:style w:type="paragraph" w:styleId="TOC4">
    <w:name w:val="toc 4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5">
    <w:name w:val="toc 5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6">
    <w:name w:val="toc 6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7">
    <w:name w:val="toc 7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8">
    <w:name w:val="toc 8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9">
    <w:name w:val="toc 9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Footer">
    <w:name w:val="footer"/>
    <w:basedOn w:val="Normal"/>
    <w:link w:val="FooterChar"/>
    <w:rsid w:val="00AB4B9E"/>
    <w:pPr>
      <w:tabs>
        <w:tab w:val="center" w:pos="4153"/>
        <w:tab w:val="right" w:pos="8306"/>
      </w:tabs>
    </w:pPr>
    <w:rPr>
      <w:noProof/>
      <w:sz w:val="16"/>
    </w:rPr>
  </w:style>
  <w:style w:type="paragraph" w:styleId="BodyTextIndent2">
    <w:name w:val="Body Text Indent 2"/>
    <w:basedOn w:val="Normal"/>
    <w:pPr>
      <w:ind w:left="1701" w:hanging="1701"/>
    </w:pPr>
    <w:rPr>
      <w:rFonts w:ascii="Times New Roman" w:hAnsi="Times New Roman"/>
      <w:i/>
      <w:sz w:val="1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7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467368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Cs w:val="24"/>
      <w:lang w:val="en-GB"/>
    </w:rPr>
  </w:style>
  <w:style w:type="paragraph" w:styleId="BalloonText">
    <w:name w:val="Balloon Text"/>
    <w:basedOn w:val="Normal"/>
    <w:link w:val="BalloonTextChar"/>
    <w:rsid w:val="00712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A02"/>
    <w:rPr>
      <w:rFonts w:ascii="Tahoma" w:hAnsi="Tahoma" w:cs="Tahoma"/>
      <w:sz w:val="16"/>
      <w:szCs w:val="16"/>
      <w:lang w:val="nl-BE"/>
    </w:rPr>
  </w:style>
  <w:style w:type="character" w:customStyle="1" w:styleId="HeaderChar">
    <w:name w:val="Header Char"/>
    <w:basedOn w:val="DefaultParagraphFont"/>
    <w:link w:val="Header"/>
    <w:rsid w:val="008B4FAB"/>
    <w:rPr>
      <w:noProof/>
      <w:sz w:val="24"/>
      <w:lang w:val="nl-BE"/>
    </w:rPr>
  </w:style>
  <w:style w:type="character" w:customStyle="1" w:styleId="FooterChar">
    <w:name w:val="Footer Char"/>
    <w:basedOn w:val="DefaultParagraphFont"/>
    <w:link w:val="Footer"/>
    <w:rsid w:val="009A28DF"/>
    <w:rPr>
      <w:rFonts w:ascii="AGaramond" w:hAnsi="AGaramond"/>
      <w:noProof/>
      <w:sz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 meer info</vt:lpstr>
    </vt:vector>
  </TitlesOfParts>
  <Company>VIVIUM N.V.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meer info</dc:title>
  <dc:creator>Marijke VAN DE VOORDE</dc:creator>
  <cp:lastModifiedBy>Verleyen Liesbet</cp:lastModifiedBy>
  <cp:revision>3</cp:revision>
  <cp:lastPrinted>2015-06-04T14:21:00Z</cp:lastPrinted>
  <dcterms:created xsi:type="dcterms:W3CDTF">2022-03-31T12:40:00Z</dcterms:created>
  <dcterms:modified xsi:type="dcterms:W3CDTF">2022-03-31T12:58:00Z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30484-7a78-4250-97b8-a1718403fcb0_Enabled">
    <vt:lpwstr>true</vt:lpwstr>
  </property>
  <property fmtid="{D5CDD505-2E9C-101B-9397-08002B2CF9AE}" pid="3" name="MSIP_Label_ede30484-7a78-4250-97b8-a1718403fcb0_SetDate">
    <vt:lpwstr>2021-01-28T10:43:54Z</vt:lpwstr>
  </property>
  <property fmtid="{D5CDD505-2E9C-101B-9397-08002B2CF9AE}" pid="4" name="MSIP_Label_ede30484-7a78-4250-97b8-a1718403fcb0_Method">
    <vt:lpwstr>Standard</vt:lpwstr>
  </property>
  <property fmtid="{D5CDD505-2E9C-101B-9397-08002B2CF9AE}" pid="5" name="MSIP_Label_ede30484-7a78-4250-97b8-a1718403fcb0_Name">
    <vt:lpwstr>Share with care (TLP-Amber)</vt:lpwstr>
  </property>
  <property fmtid="{D5CDD505-2E9C-101B-9397-08002B2CF9AE}" pid="6" name="MSIP_Label_ede30484-7a78-4250-97b8-a1718403fcb0_SiteId">
    <vt:lpwstr>a7ec1e0f-51f6-4919-b640-eba8413c83ae</vt:lpwstr>
  </property>
  <property fmtid="{D5CDD505-2E9C-101B-9397-08002B2CF9AE}" pid="7" name="MSIP_Label_ede30484-7a78-4250-97b8-a1718403fcb0_ActionId">
    <vt:lpwstr>abfb7270-eba8-4462-a9ad-00004d608096</vt:lpwstr>
  </property>
  <property fmtid="{D5CDD505-2E9C-101B-9397-08002B2CF9AE}" pid="8" name="MSIP_Label_ede30484-7a78-4250-97b8-a1718403fcb0_ContentBits">
    <vt:lpwstr>0</vt:lpwstr>
  </property>
</Properties>
</file>