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F862" w14:textId="24B8A307" w:rsidR="00C16A15" w:rsidRDefault="00C16A15" w:rsidP="00C16A15">
      <w:pPr>
        <w:pStyle w:val="NormalWeb"/>
      </w:pPr>
      <w:r>
        <w:rPr>
          <w:noProof/>
          <w:lang w:val="fr-BE"/>
        </w:rPr>
        <w:drawing>
          <wp:inline distT="0" distB="0" distL="0" distR="0" wp14:anchorId="2AED9020" wp14:editId="4047FCC3">
            <wp:extent cx="571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4CB8" w14:textId="1BA481B6" w:rsidR="008303CC" w:rsidRPr="00C44CA3" w:rsidRDefault="00CB72AE" w:rsidP="009145B8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cstheme="minorHAnsi"/>
          <w:b/>
          <w:bCs/>
          <w:color w:val="2F5496" w:themeColor="accent1" w:themeShade="BF"/>
          <w:sz w:val="32"/>
          <w:szCs w:val="32"/>
        </w:rPr>
        <w:t>Action temporaire</w:t>
      </w:r>
      <w:r>
        <w:rPr>
          <w:rFonts w:cstheme="minorHAnsi"/>
          <w:color w:val="2F5496" w:themeColor="accent1" w:themeShade="BF"/>
          <w:sz w:val="32"/>
          <w:szCs w:val="32"/>
        </w:rPr>
        <w:t> </w:t>
      </w:r>
      <w:r>
        <w:rPr>
          <w:rFonts w:cstheme="minorHAnsi"/>
          <w:b/>
          <w:bCs/>
          <w:color w:val="2F5496" w:themeColor="accent1" w:themeShade="BF"/>
          <w:sz w:val="32"/>
          <w:szCs w:val="32"/>
        </w:rPr>
        <w:t>: investissez au moins 10</w:t>
      </w:r>
      <w:r>
        <w:rPr>
          <w:rFonts w:cstheme="minorHAnsi"/>
          <w:color w:val="2F5496" w:themeColor="accent1" w:themeShade="BF"/>
          <w:sz w:val="32"/>
          <w:szCs w:val="32"/>
        </w:rPr>
        <w:t> </w:t>
      </w:r>
      <w:r>
        <w:rPr>
          <w:rFonts w:cstheme="minorHAnsi"/>
          <w:b/>
          <w:bCs/>
          <w:color w:val="2F5496" w:themeColor="accent1" w:themeShade="BF"/>
          <w:sz w:val="32"/>
          <w:szCs w:val="32"/>
        </w:rPr>
        <w:t>000</w:t>
      </w:r>
      <w:r>
        <w:rPr>
          <w:rFonts w:cstheme="minorHAnsi"/>
          <w:color w:val="2F5496" w:themeColor="accent1" w:themeShade="BF"/>
          <w:sz w:val="32"/>
          <w:szCs w:val="32"/>
        </w:rPr>
        <w:t> </w:t>
      </w:r>
      <w:r>
        <w:rPr>
          <w:rFonts w:cstheme="minorHAnsi"/>
          <w:b/>
          <w:bCs/>
          <w:color w:val="2F5496" w:themeColor="accent1" w:themeShade="BF"/>
          <w:sz w:val="32"/>
          <w:szCs w:val="32"/>
        </w:rPr>
        <w:t>euros</w:t>
      </w:r>
    </w:p>
    <w:p w14:paraId="616D5C4F" w14:textId="36ED54F4" w:rsidR="00314641" w:rsidRPr="00DB5CCC" w:rsidRDefault="00314641" w:rsidP="009145B8">
      <w:pPr>
        <w:rPr>
          <w:rFonts w:cstheme="minorHAnsi"/>
          <w:b/>
          <w:bCs/>
          <w:color w:val="ED7D31" w:themeColor="accent2"/>
          <w:sz w:val="32"/>
          <w:szCs w:val="32"/>
        </w:rPr>
      </w:pPr>
      <w:r>
        <w:rPr>
          <w:rFonts w:cstheme="minorHAnsi"/>
          <w:b/>
          <w:bCs/>
          <w:color w:val="ED7D31" w:themeColor="accent2"/>
          <w:sz w:val="32"/>
          <w:szCs w:val="32"/>
        </w:rPr>
        <w:t>Et recevez 2% supplémentaires</w:t>
      </w:r>
      <w:r>
        <w:rPr>
          <w:rFonts w:cstheme="minorHAnsi"/>
          <w:color w:val="ED7D31" w:themeColor="accent2"/>
          <w:sz w:val="32"/>
          <w:szCs w:val="32"/>
        </w:rPr>
        <w:t> </w:t>
      </w:r>
      <w:r>
        <w:rPr>
          <w:rFonts w:cstheme="minorHAnsi"/>
          <w:b/>
          <w:bCs/>
          <w:color w:val="ED7D31" w:themeColor="accent2"/>
          <w:sz w:val="32"/>
          <w:szCs w:val="32"/>
        </w:rPr>
        <w:t>!</w:t>
      </w:r>
    </w:p>
    <w:p w14:paraId="1DD628BB" w14:textId="77777777" w:rsidR="00E61D35" w:rsidRPr="00CB68D8" w:rsidRDefault="00E61D35" w:rsidP="009145B8">
      <w:pPr>
        <w:rPr>
          <w:rFonts w:cstheme="minorHAnsi"/>
          <w:sz w:val="28"/>
          <w:szCs w:val="28"/>
        </w:rPr>
      </w:pPr>
    </w:p>
    <w:p w14:paraId="107E59AB" w14:textId="275F781B" w:rsidR="00DE37B7" w:rsidRPr="009C64B3" w:rsidRDefault="00C26438" w:rsidP="009145B8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Chère cliente, cher client,</w:t>
      </w:r>
    </w:p>
    <w:p w14:paraId="35A150E6" w14:textId="0E1521CE" w:rsidR="0030222B" w:rsidRPr="00897317" w:rsidRDefault="0030222B" w:rsidP="009145B8">
      <w:pPr>
        <w:rPr>
          <w:rFonts w:ascii="Calibri" w:eastAsia="Times New Roman" w:hAnsi="Calibri" w:cs="Calibri"/>
          <w:sz w:val="22"/>
          <w:szCs w:val="22"/>
        </w:rPr>
      </w:pPr>
    </w:p>
    <w:p w14:paraId="5A403198" w14:textId="7FCF7DE2" w:rsidR="00063FCD" w:rsidRPr="00E713E2" w:rsidRDefault="00C44CA3" w:rsidP="009145B8">
      <w:pPr>
        <w:pStyle w:val="NormalWeb"/>
        <w:spacing w:before="0" w:beforeAutospacing="0" w:after="160" w:afterAutospacing="0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 xml:space="preserve">Investir </w:t>
      </w:r>
      <w:r w:rsidR="000A554F">
        <w:rPr>
          <w:rFonts w:ascii="Calibri" w:hAnsi="Calibri" w:cs="Calibri"/>
          <w:sz w:val="22"/>
          <w:szCs w:val="22"/>
          <w:lang w:val="fr-BE"/>
        </w:rPr>
        <w:t>pour un</w:t>
      </w:r>
      <w:r>
        <w:rPr>
          <w:rFonts w:ascii="Calibri" w:hAnsi="Calibri" w:cs="Calibri"/>
          <w:sz w:val="22"/>
          <w:szCs w:val="22"/>
          <w:lang w:val="fr-BE"/>
        </w:rPr>
        <w:t xml:space="preserve"> avenir financier</w:t>
      </w:r>
      <w:r w:rsidR="000A554F">
        <w:rPr>
          <w:rFonts w:ascii="Calibri" w:hAnsi="Calibri" w:cs="Calibri"/>
          <w:sz w:val="22"/>
          <w:szCs w:val="22"/>
          <w:lang w:val="fr-BE"/>
        </w:rPr>
        <w:t xml:space="preserve"> serein est</w:t>
      </w:r>
      <w:r>
        <w:rPr>
          <w:rFonts w:ascii="Calibri" w:hAnsi="Calibri" w:cs="Calibri"/>
          <w:sz w:val="22"/>
          <w:szCs w:val="22"/>
          <w:lang w:val="fr-BE"/>
        </w:rPr>
        <w:t xml:space="preserve"> un choix judicieux. </w:t>
      </w:r>
      <w:r w:rsidR="000A554F">
        <w:rPr>
          <w:rFonts w:ascii="Calibri" w:hAnsi="Calibri" w:cs="Calibri"/>
          <w:sz w:val="22"/>
          <w:szCs w:val="22"/>
          <w:lang w:val="fr-BE"/>
        </w:rPr>
        <w:t>En optant pour n</w:t>
      </w:r>
      <w:r>
        <w:rPr>
          <w:rFonts w:ascii="Calibri" w:hAnsi="Calibri" w:cs="Calibri"/>
          <w:sz w:val="22"/>
          <w:szCs w:val="22"/>
          <w:lang w:val="fr-BE"/>
        </w:rPr>
        <w:t>otre</w:t>
      </w:r>
      <w:r w:rsidR="000A554F">
        <w:rPr>
          <w:rFonts w:ascii="Calibri" w:hAnsi="Calibri" w:cs="Calibri"/>
          <w:sz w:val="22"/>
          <w:szCs w:val="22"/>
          <w:lang w:val="fr-BE"/>
        </w:rPr>
        <w:t xml:space="preserve"> vaste</w:t>
      </w:r>
      <w:r>
        <w:rPr>
          <w:rFonts w:ascii="Calibri" w:hAnsi="Calibri" w:cs="Calibri"/>
          <w:sz w:val="22"/>
          <w:szCs w:val="22"/>
          <w:lang w:val="fr-BE"/>
        </w:rPr>
        <w:t xml:space="preserve"> gamme d’options de placement</w:t>
      </w:r>
      <w:r w:rsidR="000A554F">
        <w:rPr>
          <w:rFonts w:ascii="Calibri" w:hAnsi="Calibri" w:cs="Calibri"/>
          <w:sz w:val="22"/>
          <w:szCs w:val="22"/>
          <w:lang w:val="fr-BE"/>
        </w:rPr>
        <w:t>,</w:t>
      </w:r>
      <w:r>
        <w:rPr>
          <w:rFonts w:ascii="Calibri" w:hAnsi="Calibri" w:cs="Calibri"/>
          <w:sz w:val="22"/>
          <w:szCs w:val="22"/>
          <w:lang w:val="fr-BE"/>
        </w:rPr>
        <w:t xml:space="preserve"> </w:t>
      </w:r>
      <w:r w:rsidR="000A554F">
        <w:rPr>
          <w:rFonts w:ascii="Calibri" w:hAnsi="Calibri" w:cs="Calibri"/>
          <w:sz w:val="22"/>
          <w:szCs w:val="22"/>
          <w:lang w:val="fr-BE"/>
        </w:rPr>
        <w:t>vous profiterez au mieux</w:t>
      </w:r>
      <w:r>
        <w:rPr>
          <w:rFonts w:ascii="Calibri" w:hAnsi="Calibri" w:cs="Calibri"/>
          <w:sz w:val="22"/>
          <w:szCs w:val="22"/>
          <w:lang w:val="fr-BE"/>
        </w:rPr>
        <w:t xml:space="preserve"> de votre épargne. </w:t>
      </w:r>
      <w:r w:rsidR="000A554F">
        <w:rPr>
          <w:rFonts w:ascii="Calibri" w:hAnsi="Calibri" w:cs="Calibri"/>
          <w:sz w:val="22"/>
          <w:szCs w:val="22"/>
          <w:lang w:val="fr-BE"/>
        </w:rPr>
        <w:t>Et c</w:t>
      </w:r>
      <w:r>
        <w:rPr>
          <w:rFonts w:ascii="Calibri" w:hAnsi="Calibri" w:cs="Calibri"/>
          <w:sz w:val="22"/>
          <w:szCs w:val="22"/>
          <w:lang w:val="fr-BE"/>
        </w:rPr>
        <w:t xml:space="preserve">omme une bonne nouvelle n'arrive jamais seule, si vous effectuez maintenant un </w:t>
      </w:r>
      <w:r w:rsidR="000A554F">
        <w:rPr>
          <w:rFonts w:ascii="Calibri" w:hAnsi="Calibri" w:cs="Calibri"/>
          <w:sz w:val="22"/>
          <w:szCs w:val="22"/>
          <w:lang w:val="fr-BE"/>
        </w:rPr>
        <w:t>versement</w:t>
      </w:r>
      <w:r>
        <w:rPr>
          <w:rFonts w:ascii="Calibri" w:hAnsi="Calibri" w:cs="Calibri"/>
          <w:sz w:val="22"/>
          <w:szCs w:val="22"/>
          <w:lang w:val="fr-BE"/>
        </w:rPr>
        <w:t xml:space="preserve"> d'au moins 10 000 euros,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>
        <w:rPr>
          <w:rFonts w:ascii="Calibri" w:hAnsi="Calibri" w:cs="Calibri"/>
          <w:sz w:val="22"/>
          <w:szCs w:val="22"/>
          <w:lang w:val="fr-BE"/>
        </w:rPr>
        <w:t xml:space="preserve">Vivium </w:t>
      </w:r>
      <w:r w:rsidR="000A554F">
        <w:rPr>
          <w:rFonts w:ascii="Calibri" w:hAnsi="Calibri" w:cs="Calibri"/>
          <w:sz w:val="22"/>
          <w:szCs w:val="22"/>
          <w:lang w:val="fr-BE"/>
        </w:rPr>
        <w:t>vous gratifie</w:t>
      </w:r>
      <w:r>
        <w:rPr>
          <w:rFonts w:ascii="Calibri" w:hAnsi="Calibri" w:cs="Calibri"/>
          <w:sz w:val="22"/>
          <w:szCs w:val="22"/>
          <w:lang w:val="fr-BE"/>
        </w:rPr>
        <w:t xml:space="preserve"> temporairement </w:t>
      </w:r>
      <w:r w:rsidR="000A554F">
        <w:rPr>
          <w:rFonts w:ascii="Calibri" w:hAnsi="Calibri" w:cs="Calibri"/>
          <w:sz w:val="22"/>
          <w:szCs w:val="22"/>
          <w:lang w:val="fr-BE"/>
        </w:rPr>
        <w:t xml:space="preserve">de </w:t>
      </w:r>
      <w:r>
        <w:rPr>
          <w:rFonts w:ascii="Calibri" w:hAnsi="Calibri" w:cs="Calibri"/>
          <w:sz w:val="22"/>
          <w:szCs w:val="22"/>
          <w:lang w:val="fr-BE"/>
        </w:rPr>
        <w:t>2% de plus</w:t>
      </w:r>
      <w:r w:rsidR="000A554F">
        <w:rPr>
          <w:rFonts w:ascii="Calibri" w:hAnsi="Calibri" w:cs="Calibri"/>
          <w:sz w:val="22"/>
          <w:szCs w:val="22"/>
          <w:lang w:val="fr-BE"/>
        </w:rPr>
        <w:t xml:space="preserve"> sur cette somme</w:t>
      </w:r>
      <w:r>
        <w:rPr>
          <w:rFonts w:ascii="Calibri" w:hAnsi="Calibri" w:cs="Calibri"/>
          <w:sz w:val="22"/>
          <w:szCs w:val="22"/>
          <w:lang w:val="fr-BE"/>
        </w:rPr>
        <w:t>. Un joli bonus !</w:t>
      </w:r>
    </w:p>
    <w:p w14:paraId="2E2B2877" w14:textId="36845670" w:rsidR="00DE37B7" w:rsidRPr="00E06BFA" w:rsidRDefault="00933586" w:rsidP="009145B8">
      <w:pPr>
        <w:rPr>
          <w:rFonts w:cstheme="minorHAnsi"/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1F3864" w:themeColor="accent1" w:themeShade="80"/>
        </w:rPr>
        <w:t xml:space="preserve">Résumé de notre action  </w:t>
      </w:r>
    </w:p>
    <w:p w14:paraId="0BBEF6F3" w14:textId="691228DD" w:rsidR="00B5471F" w:rsidRPr="00B90C3E" w:rsidRDefault="00C44CA3" w:rsidP="009145B8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Vous pouvez bénéficier de 2% supplémentaires si vous investissez </w:t>
      </w:r>
      <w:r w:rsidR="000A554F">
        <w:rPr>
          <w:rFonts w:cstheme="minorHAnsi"/>
          <w:sz w:val="22"/>
          <w:szCs w:val="22"/>
        </w:rPr>
        <w:t xml:space="preserve">auprès de Vivium </w:t>
      </w:r>
      <w:r>
        <w:rPr>
          <w:rFonts w:cstheme="minorHAnsi"/>
          <w:sz w:val="22"/>
          <w:szCs w:val="22"/>
        </w:rPr>
        <w:t xml:space="preserve">au moins 10 000 euros dans une nouvelle </w:t>
      </w:r>
      <w:r>
        <w:rPr>
          <w:rFonts w:cstheme="minorHAnsi"/>
          <w:b/>
          <w:bCs/>
          <w:sz w:val="22"/>
          <w:szCs w:val="22"/>
        </w:rPr>
        <w:t>assurance vie «</w:t>
      </w:r>
      <w:r>
        <w:rPr>
          <w:rFonts w:cstheme="minorHAnsi"/>
          <w:sz w:val="22"/>
          <w:szCs w:val="22"/>
        </w:rPr>
        <w:t> </w:t>
      </w:r>
      <w:r>
        <w:rPr>
          <w:rFonts w:cstheme="minorHAnsi"/>
          <w:b/>
          <w:bCs/>
          <w:sz w:val="22"/>
          <w:szCs w:val="22"/>
        </w:rPr>
        <w:t>épargne et placements non fiscaux</w:t>
      </w:r>
      <w:r>
        <w:rPr>
          <w:rFonts w:cstheme="minorHAnsi"/>
          <w:sz w:val="22"/>
          <w:szCs w:val="22"/>
        </w:rPr>
        <w:t> »</w:t>
      </w:r>
      <w:r>
        <w:rPr>
          <w:rFonts w:cstheme="minorHAnsi"/>
          <w:b/>
          <w:bCs/>
          <w:sz w:val="22"/>
          <w:szCs w:val="22"/>
        </w:rPr>
        <w:t xml:space="preserve"> ou «</w:t>
      </w:r>
      <w:r>
        <w:rPr>
          <w:rFonts w:cstheme="minorHAnsi"/>
          <w:sz w:val="22"/>
          <w:szCs w:val="22"/>
        </w:rPr>
        <w:t> </w:t>
      </w:r>
      <w:r>
        <w:rPr>
          <w:rFonts w:cstheme="minorHAnsi"/>
          <w:b/>
          <w:bCs/>
          <w:sz w:val="22"/>
          <w:szCs w:val="22"/>
        </w:rPr>
        <w:t xml:space="preserve">Vivium </w:t>
      </w:r>
      <w:proofErr w:type="spellStart"/>
      <w:r>
        <w:rPr>
          <w:rFonts w:cstheme="minorHAnsi"/>
          <w:b/>
          <w:bCs/>
          <w:sz w:val="22"/>
          <w:szCs w:val="22"/>
        </w:rPr>
        <w:t>Selection</w:t>
      </w:r>
      <w:proofErr w:type="spellEnd"/>
      <w:r>
        <w:rPr>
          <w:rFonts w:cstheme="minorHAnsi"/>
          <w:sz w:val="22"/>
          <w:szCs w:val="22"/>
        </w:rPr>
        <w:t xml:space="preserve"> ». </w:t>
      </w:r>
      <w:r w:rsidR="00836583">
        <w:rPr>
          <w:rFonts w:cstheme="minorHAnsi"/>
          <w:sz w:val="22"/>
          <w:szCs w:val="22"/>
        </w:rPr>
        <w:t>De même, u</w:t>
      </w:r>
      <w:r>
        <w:rPr>
          <w:rFonts w:cstheme="minorHAnsi"/>
          <w:sz w:val="22"/>
          <w:szCs w:val="22"/>
        </w:rPr>
        <w:t xml:space="preserve">n versement complémentaire d’au moins 10 000 euros </w:t>
      </w:r>
      <w:r w:rsidR="00836583">
        <w:rPr>
          <w:rFonts w:cstheme="minorHAnsi"/>
          <w:sz w:val="22"/>
          <w:szCs w:val="22"/>
        </w:rPr>
        <w:t>sur</w:t>
      </w:r>
      <w:r>
        <w:rPr>
          <w:rFonts w:cstheme="minorHAnsi"/>
          <w:sz w:val="22"/>
          <w:szCs w:val="22"/>
        </w:rPr>
        <w:t xml:space="preserve"> une police existante, conclue à partir du 01/04/2022, entre également en ligne de compte pour l’action. </w:t>
      </w:r>
    </w:p>
    <w:p w14:paraId="687484F5" w14:textId="78B6855E" w:rsidR="00CB72AE" w:rsidRPr="00CB72AE" w:rsidRDefault="00CB72AE" w:rsidP="009145B8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Celle-ci court jusqu’au 30/04/2024</w:t>
      </w:r>
      <w:r w:rsidR="00836583">
        <w:rPr>
          <w:rFonts w:cstheme="minorHAnsi"/>
          <w:sz w:val="22"/>
          <w:szCs w:val="22"/>
        </w:rPr>
        <w:t>, mais</w:t>
      </w:r>
      <w:r>
        <w:rPr>
          <w:rFonts w:cstheme="minorHAnsi"/>
          <w:sz w:val="22"/>
          <w:szCs w:val="22"/>
        </w:rPr>
        <w:t xml:space="preserve"> peut être clôturée de manière anticipée.</w:t>
      </w:r>
    </w:p>
    <w:p w14:paraId="2B139947" w14:textId="7EDAACA6" w:rsidR="00B5471F" w:rsidRPr="00047CB7" w:rsidRDefault="00E17AF1" w:rsidP="009145B8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Vivium versera </w:t>
      </w:r>
      <w:r w:rsidR="00836583">
        <w:rPr>
          <w:rFonts w:cstheme="minorHAnsi"/>
          <w:sz w:val="22"/>
          <w:szCs w:val="22"/>
        </w:rPr>
        <w:t>le</w:t>
      </w:r>
      <w:r>
        <w:rPr>
          <w:rFonts w:cstheme="minorHAnsi"/>
          <w:sz w:val="22"/>
          <w:szCs w:val="22"/>
        </w:rPr>
        <w:t xml:space="preserve"> montant additionnel au plus tard le 30/6/2024. La somme sera égale à 2% de votre </w:t>
      </w:r>
      <w:r w:rsidR="00836583">
        <w:rPr>
          <w:rFonts w:cstheme="minorHAnsi"/>
          <w:sz w:val="22"/>
          <w:szCs w:val="22"/>
        </w:rPr>
        <w:t>versement</w:t>
      </w:r>
      <w:r>
        <w:rPr>
          <w:rFonts w:cstheme="minorHAnsi"/>
          <w:sz w:val="22"/>
          <w:szCs w:val="22"/>
        </w:rPr>
        <w:t xml:space="preserve">, plafonnée à 2 000 euros par contrat. Une fois le versement effectué, Vivium vous en informera par </w:t>
      </w:r>
      <w:proofErr w:type="gramStart"/>
      <w:r>
        <w:rPr>
          <w:rFonts w:cstheme="minorHAnsi"/>
          <w:sz w:val="22"/>
          <w:szCs w:val="22"/>
        </w:rPr>
        <w:t>e-mail</w:t>
      </w:r>
      <w:proofErr w:type="gramEnd"/>
      <w:r>
        <w:rPr>
          <w:rFonts w:cstheme="minorHAnsi"/>
          <w:sz w:val="22"/>
          <w:szCs w:val="22"/>
        </w:rPr>
        <w:t xml:space="preserve">. </w:t>
      </w:r>
    </w:p>
    <w:p w14:paraId="4AEF4FF2" w14:textId="63683905" w:rsidR="00B37A97" w:rsidRPr="009C64B3" w:rsidRDefault="00B37A97" w:rsidP="009145B8">
      <w:pPr>
        <w:rPr>
          <w:rFonts w:cstheme="minorHAnsi"/>
          <w:color w:val="000000" w:themeColor="text1"/>
          <w:sz w:val="22"/>
          <w:szCs w:val="22"/>
        </w:rPr>
      </w:pPr>
    </w:p>
    <w:p w14:paraId="29E38B9D" w14:textId="48BBD8A6" w:rsidR="00B37A97" w:rsidRPr="00E06BFA" w:rsidRDefault="00B37A97" w:rsidP="009145B8">
      <w:pPr>
        <w:rPr>
          <w:rFonts w:cstheme="minorHAnsi"/>
          <w:color w:val="1F3864" w:themeColor="accent1" w:themeShade="80"/>
          <w:sz w:val="22"/>
          <w:szCs w:val="22"/>
        </w:rPr>
      </w:pPr>
      <w:r>
        <w:rPr>
          <w:rFonts w:cstheme="minorHAnsi"/>
          <w:b/>
          <w:bCs/>
          <w:color w:val="1F3864" w:themeColor="accent1" w:themeShade="80"/>
        </w:rPr>
        <w:t xml:space="preserve">Prêt(e) à </w:t>
      </w:r>
      <w:r w:rsidR="00836583">
        <w:rPr>
          <w:rFonts w:cstheme="minorHAnsi"/>
          <w:b/>
          <w:bCs/>
          <w:color w:val="1F3864" w:themeColor="accent1" w:themeShade="80"/>
        </w:rPr>
        <w:t>dynamiser</w:t>
      </w:r>
      <w:r>
        <w:rPr>
          <w:rFonts w:cstheme="minorHAnsi"/>
          <w:b/>
          <w:bCs/>
          <w:color w:val="1F3864" w:themeColor="accent1" w:themeShade="80"/>
        </w:rPr>
        <w:t xml:space="preserve"> votre </w:t>
      </w:r>
      <w:r w:rsidR="00836583">
        <w:rPr>
          <w:rFonts w:cstheme="minorHAnsi"/>
          <w:b/>
          <w:bCs/>
          <w:color w:val="1F3864" w:themeColor="accent1" w:themeShade="80"/>
        </w:rPr>
        <w:t>épargne</w:t>
      </w:r>
      <w:r>
        <w:rPr>
          <w:rFonts w:cstheme="minorHAnsi"/>
          <w:color w:val="1F3864" w:themeColor="accent1" w:themeShade="80"/>
        </w:rPr>
        <w:t> </w:t>
      </w:r>
      <w:r>
        <w:rPr>
          <w:rFonts w:cstheme="minorHAnsi"/>
          <w:b/>
          <w:bCs/>
          <w:color w:val="1F3864" w:themeColor="accent1" w:themeShade="80"/>
        </w:rPr>
        <w:t>?</w:t>
      </w:r>
    </w:p>
    <w:p w14:paraId="137BDA83" w14:textId="69732E8C" w:rsidR="006848AA" w:rsidRPr="00B37A97" w:rsidRDefault="006605D7" w:rsidP="009145B8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Contactez-moi ! Ensemble, nous examinerons si l’un des produits participants correspond à vos souhaits, besoins, profil de risque et préférences en matière de durabilité. Vous pouvez le faire </w:t>
      </w:r>
      <w:r w:rsidR="00836583">
        <w:rPr>
          <w:rFonts w:cstheme="minorHAnsi"/>
          <w:color w:val="000000" w:themeColor="text1"/>
          <w:sz w:val="22"/>
          <w:szCs w:val="22"/>
        </w:rPr>
        <w:t xml:space="preserve">lors d’un entretien </w:t>
      </w:r>
      <w:r>
        <w:rPr>
          <w:rFonts w:cstheme="minorHAnsi"/>
          <w:color w:val="000000" w:themeColor="text1"/>
          <w:sz w:val="22"/>
          <w:szCs w:val="22"/>
        </w:rPr>
        <w:t>en agence</w:t>
      </w:r>
      <w:r w:rsidR="00836583">
        <w:rPr>
          <w:rFonts w:cstheme="minorHAnsi"/>
          <w:color w:val="000000" w:themeColor="text1"/>
          <w:sz w:val="22"/>
          <w:szCs w:val="22"/>
        </w:rPr>
        <w:t xml:space="preserve"> ou</w:t>
      </w:r>
      <w:r>
        <w:rPr>
          <w:rFonts w:cstheme="minorHAnsi"/>
          <w:color w:val="000000" w:themeColor="text1"/>
          <w:sz w:val="22"/>
          <w:szCs w:val="22"/>
        </w:rPr>
        <w:t xml:space="preserve"> chez vous</w:t>
      </w:r>
      <w:r w:rsidR="00836583">
        <w:rPr>
          <w:rFonts w:cstheme="minorHAnsi"/>
          <w:color w:val="000000" w:themeColor="text1"/>
          <w:sz w:val="22"/>
          <w:szCs w:val="22"/>
        </w:rPr>
        <w:t>,</w:t>
      </w:r>
      <w:r>
        <w:rPr>
          <w:rFonts w:cstheme="minorHAnsi"/>
          <w:color w:val="000000" w:themeColor="text1"/>
          <w:sz w:val="22"/>
          <w:szCs w:val="22"/>
        </w:rPr>
        <w:t xml:space="preserve"> ou en ligne. </w:t>
      </w:r>
    </w:p>
    <w:p w14:paraId="3878B5BB" w14:textId="77777777" w:rsidR="006848AA" w:rsidRDefault="006848AA" w:rsidP="009145B8">
      <w:pPr>
        <w:rPr>
          <w:rFonts w:cstheme="minorHAnsi"/>
          <w:color w:val="000000" w:themeColor="text1"/>
          <w:sz w:val="22"/>
          <w:szCs w:val="22"/>
        </w:rPr>
      </w:pPr>
    </w:p>
    <w:p w14:paraId="24DC693E" w14:textId="3818EF52" w:rsidR="007F4A52" w:rsidRPr="009C64B3" w:rsidRDefault="00A704C6" w:rsidP="009145B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À bientôt !</w:t>
      </w:r>
    </w:p>
    <w:p w14:paraId="05FD700A" w14:textId="726D52C2" w:rsidR="007F4A52" w:rsidRPr="009C64B3" w:rsidRDefault="007F4A52" w:rsidP="009145B8">
      <w:pPr>
        <w:rPr>
          <w:rFonts w:cstheme="minorHAnsi"/>
          <w:sz w:val="22"/>
          <w:szCs w:val="22"/>
        </w:rPr>
      </w:pPr>
    </w:p>
    <w:p w14:paraId="6F3C459A" w14:textId="77777777" w:rsidR="004C7955" w:rsidRDefault="00FC6F0D" w:rsidP="009145B8">
      <w:pPr>
        <w:rPr>
          <w:rFonts w:cstheme="minorHAnsi"/>
          <w:sz w:val="22"/>
          <w:szCs w:val="22"/>
          <w:highlight w:val="lightGray"/>
        </w:rPr>
      </w:pPr>
      <w:r>
        <w:rPr>
          <w:rFonts w:cstheme="minorHAnsi"/>
          <w:sz w:val="22"/>
          <w:szCs w:val="22"/>
        </w:rPr>
        <w:t xml:space="preserve">Votre courtier, </w:t>
      </w:r>
    </w:p>
    <w:p w14:paraId="699A41F8" w14:textId="54237494" w:rsidR="009C64B3" w:rsidRPr="004C7955" w:rsidRDefault="001240FF" w:rsidP="009145B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highlight w:val="lightGray"/>
        </w:rPr>
        <w:t>&lt;</w:t>
      </w:r>
      <w:proofErr w:type="gramStart"/>
      <w:r>
        <w:rPr>
          <w:rFonts w:cstheme="minorHAnsi"/>
          <w:sz w:val="22"/>
          <w:szCs w:val="22"/>
          <w:highlight w:val="lightGray"/>
        </w:rPr>
        <w:t>numéro</w:t>
      </w:r>
      <w:proofErr w:type="gramEnd"/>
      <w:r>
        <w:rPr>
          <w:rFonts w:cstheme="minorHAnsi"/>
          <w:sz w:val="22"/>
          <w:szCs w:val="22"/>
          <w:highlight w:val="lightGray"/>
        </w:rPr>
        <w:t xml:space="preserve"> d’entreprise&gt;</w:t>
      </w:r>
    </w:p>
    <w:p w14:paraId="7B3084E6" w14:textId="551F285D" w:rsidR="009C64B3" w:rsidRDefault="009C64B3" w:rsidP="009145B8">
      <w:pPr>
        <w:rPr>
          <w:rFonts w:cstheme="minorHAnsi"/>
        </w:rPr>
      </w:pPr>
    </w:p>
    <w:p w14:paraId="4098AB01" w14:textId="324262A1" w:rsidR="00B0260A" w:rsidRPr="00E06BFA" w:rsidRDefault="00B0260A" w:rsidP="009145B8">
      <w:pPr>
        <w:rPr>
          <w:rFonts w:cstheme="minorHAnsi"/>
          <w:b/>
          <w:bCs/>
          <w:color w:val="1F3864" w:themeColor="accent1" w:themeShade="80"/>
        </w:rPr>
      </w:pPr>
      <w:r>
        <w:rPr>
          <w:rFonts w:cstheme="minorHAnsi"/>
          <w:b/>
          <w:bCs/>
          <w:color w:val="1F3864" w:themeColor="accent1" w:themeShade="80"/>
        </w:rPr>
        <w:t>Comment vous préparer à notre rendez-vous</w:t>
      </w:r>
      <w:r>
        <w:rPr>
          <w:rFonts w:cstheme="minorHAnsi"/>
          <w:color w:val="1F3864" w:themeColor="accent1" w:themeShade="80"/>
        </w:rPr>
        <w:t> </w:t>
      </w:r>
      <w:r>
        <w:rPr>
          <w:rFonts w:cstheme="minorHAnsi"/>
          <w:b/>
          <w:bCs/>
          <w:color w:val="1F3864" w:themeColor="accent1" w:themeShade="80"/>
        </w:rPr>
        <w:t>?</w:t>
      </w:r>
    </w:p>
    <w:p w14:paraId="381B4934" w14:textId="7C829717" w:rsidR="009C64B3" w:rsidRDefault="00BA4A0C" w:rsidP="009145B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Vous trouverez toutes les informations sur les pages produits </w:t>
      </w:r>
      <w:hyperlink r:id="rId9" w:history="1">
        <w:r>
          <w:rPr>
            <w:rStyle w:val="Hyperlink"/>
            <w:rFonts w:cstheme="minorHAnsi"/>
            <w:sz w:val="22"/>
            <w:szCs w:val="22"/>
          </w:rPr>
          <w:t>«</w:t>
        </w:r>
        <w:r>
          <w:rPr>
            <w:rStyle w:val="Hyperlink"/>
            <w:rFonts w:cstheme="minorHAnsi"/>
            <w:sz w:val="22"/>
            <w:szCs w:val="22"/>
            <w:u w:val="none"/>
          </w:rPr>
          <w:t> </w:t>
        </w:r>
        <w:r>
          <w:rPr>
            <w:rStyle w:val="Hyperlink"/>
            <w:rFonts w:cstheme="minorHAnsi"/>
            <w:sz w:val="22"/>
            <w:szCs w:val="22"/>
          </w:rPr>
          <w:t>Épargne et placements non fiscaux</w:t>
        </w:r>
        <w:r>
          <w:rPr>
            <w:rStyle w:val="Hyperlink"/>
            <w:rFonts w:cstheme="minorHAnsi"/>
            <w:sz w:val="22"/>
            <w:szCs w:val="22"/>
            <w:u w:val="none"/>
          </w:rPr>
          <w:t> </w:t>
        </w:r>
        <w:r>
          <w:rPr>
            <w:rStyle w:val="Hyperlink"/>
            <w:rFonts w:cstheme="minorHAnsi"/>
            <w:sz w:val="22"/>
            <w:szCs w:val="22"/>
          </w:rPr>
          <w:t>»</w:t>
        </w:r>
      </w:hyperlink>
      <w:r>
        <w:rPr>
          <w:rFonts w:cstheme="minorHAnsi"/>
          <w:sz w:val="22"/>
          <w:szCs w:val="22"/>
        </w:rPr>
        <w:t xml:space="preserve"> et </w:t>
      </w:r>
      <w:hyperlink r:id="rId10" w:history="1">
        <w:r>
          <w:rPr>
            <w:rStyle w:val="Hyperlink"/>
            <w:rFonts w:cstheme="minorHAnsi"/>
            <w:sz w:val="22"/>
            <w:szCs w:val="22"/>
          </w:rPr>
          <w:t>«</w:t>
        </w:r>
        <w:r>
          <w:rPr>
            <w:rStyle w:val="Hyperlink"/>
            <w:rFonts w:cstheme="minorHAnsi"/>
            <w:sz w:val="22"/>
            <w:szCs w:val="22"/>
            <w:u w:val="none"/>
          </w:rPr>
          <w:t> </w:t>
        </w:r>
        <w:r>
          <w:rPr>
            <w:rStyle w:val="Hyperlink"/>
            <w:rFonts w:cstheme="minorHAnsi"/>
            <w:sz w:val="22"/>
            <w:szCs w:val="22"/>
          </w:rPr>
          <w:t>Vivium Selection</w:t>
        </w:r>
        <w:r>
          <w:rPr>
            <w:rStyle w:val="Hyperlink"/>
            <w:rFonts w:cstheme="minorHAnsi"/>
            <w:sz w:val="22"/>
            <w:szCs w:val="22"/>
            <w:u w:val="none"/>
          </w:rPr>
          <w:t> </w:t>
        </w:r>
        <w:r>
          <w:rPr>
            <w:rStyle w:val="Hyperlink"/>
            <w:rFonts w:cstheme="minorHAnsi"/>
            <w:sz w:val="22"/>
            <w:szCs w:val="22"/>
          </w:rPr>
          <w:t>»</w:t>
        </w:r>
      </w:hyperlink>
      <w:r>
        <w:rPr>
          <w:rFonts w:cstheme="minorHAnsi"/>
          <w:sz w:val="22"/>
          <w:szCs w:val="22"/>
        </w:rPr>
        <w:t xml:space="preserve">. Les deux produits sont des assurances vie de droit belge, « Vivium </w:t>
      </w:r>
      <w:proofErr w:type="spellStart"/>
      <w:r>
        <w:rPr>
          <w:rFonts w:cstheme="minorHAnsi"/>
          <w:sz w:val="22"/>
          <w:szCs w:val="22"/>
        </w:rPr>
        <w:t>Selection</w:t>
      </w:r>
      <w:proofErr w:type="spellEnd"/>
      <w:r>
        <w:rPr>
          <w:rFonts w:cstheme="minorHAnsi"/>
          <w:sz w:val="22"/>
          <w:szCs w:val="22"/>
        </w:rPr>
        <w:t> » est une assurance vie de la branche 23, tandis qu</w:t>
      </w:r>
      <w:proofErr w:type="gramStart"/>
      <w:r>
        <w:rPr>
          <w:rFonts w:cstheme="minorHAnsi"/>
          <w:sz w:val="22"/>
          <w:szCs w:val="22"/>
        </w:rPr>
        <w:t>’«</w:t>
      </w:r>
      <w:proofErr w:type="gramEnd"/>
      <w:r>
        <w:rPr>
          <w:rFonts w:cstheme="minorHAnsi"/>
          <w:sz w:val="22"/>
          <w:szCs w:val="22"/>
        </w:rPr>
        <w:t xml:space="preserve"> Épargne et placements non fiscaux » est une combinaison d’un rendement garanti par la compagnie d’assurance (branche 21) et/ou d’un rendement associé à des fonds de placement (branche 23). Avant de souscrire une assurance, nous vous conseillons de prendre connaissance des documents d’information de ce produit, du règlement </w:t>
      </w:r>
      <w:r>
        <w:rPr>
          <w:rFonts w:cstheme="minorHAnsi"/>
          <w:sz w:val="22"/>
          <w:szCs w:val="22"/>
        </w:rPr>
        <w:lastRenderedPageBreak/>
        <w:t xml:space="preserve">de gestion et des conditions générales. Vous pouvez les trouver sur </w:t>
      </w:r>
      <w:hyperlink r:id="rId11" w:history="1">
        <w:r>
          <w:rPr>
            <w:rStyle w:val="Hyperlink"/>
            <w:rFonts w:cstheme="minorHAnsi"/>
            <w:sz w:val="22"/>
            <w:szCs w:val="22"/>
          </w:rPr>
          <w:t>www.vivium.be</w:t>
        </w:r>
      </w:hyperlink>
      <w:r>
        <w:rPr>
          <w:rFonts w:cstheme="minorHAnsi"/>
          <w:sz w:val="22"/>
          <w:szCs w:val="22"/>
        </w:rPr>
        <w:t xml:space="preserve"> ou me les demander. Pour des conseils sur mesure, n’hésitez pas à me contacter. </w:t>
      </w:r>
    </w:p>
    <w:p w14:paraId="574B3625" w14:textId="7B690EAB" w:rsidR="00C16A15" w:rsidRDefault="00C16A15" w:rsidP="009145B8">
      <w:pPr>
        <w:rPr>
          <w:rFonts w:cstheme="minorHAnsi"/>
          <w:sz w:val="22"/>
          <w:szCs w:val="22"/>
        </w:rPr>
      </w:pPr>
    </w:p>
    <w:p w14:paraId="08649F2D" w14:textId="2A87AC41" w:rsidR="00C16A15" w:rsidRPr="00D343EC" w:rsidRDefault="00C16A15" w:rsidP="009145B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highlight w:val="lightGray"/>
        </w:rPr>
        <w:t>&lt;</w:t>
      </w:r>
      <w:proofErr w:type="gramStart"/>
      <w:r>
        <w:rPr>
          <w:rFonts w:cstheme="minorHAnsi"/>
          <w:sz w:val="22"/>
          <w:szCs w:val="22"/>
          <w:highlight w:val="lightGray"/>
        </w:rPr>
        <w:t>ajoutez</w:t>
      </w:r>
      <w:proofErr w:type="gramEnd"/>
      <w:r>
        <w:rPr>
          <w:rFonts w:cstheme="minorHAnsi"/>
          <w:sz w:val="22"/>
          <w:szCs w:val="22"/>
          <w:highlight w:val="lightGray"/>
        </w:rPr>
        <w:t xml:space="preserve"> votre </w:t>
      </w:r>
      <w:proofErr w:type="spellStart"/>
      <w:r>
        <w:rPr>
          <w:rFonts w:cstheme="minorHAnsi"/>
          <w:sz w:val="22"/>
          <w:szCs w:val="22"/>
          <w:highlight w:val="lightGray"/>
        </w:rPr>
        <w:t>opt</w:t>
      </w:r>
      <w:proofErr w:type="spellEnd"/>
      <w:r>
        <w:rPr>
          <w:rFonts w:cstheme="minorHAnsi"/>
          <w:sz w:val="22"/>
          <w:szCs w:val="22"/>
          <w:highlight w:val="lightGray"/>
        </w:rPr>
        <w:t xml:space="preserve"> out ici&gt;</w:t>
      </w:r>
    </w:p>
    <w:sectPr w:rsidR="00C16A15" w:rsidRPr="00D343EC" w:rsidSect="007D29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FD71" w14:textId="77777777" w:rsidR="00C10698" w:rsidRDefault="00C10698" w:rsidP="00FC3B0E">
      <w:r>
        <w:separator/>
      </w:r>
    </w:p>
  </w:endnote>
  <w:endnote w:type="continuationSeparator" w:id="0">
    <w:p w14:paraId="2D9B53BC" w14:textId="77777777" w:rsidR="00C10698" w:rsidRDefault="00C10698" w:rsidP="00FC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0986" w14:textId="77777777" w:rsidR="00C10698" w:rsidRDefault="00C10698" w:rsidP="00FC3B0E">
      <w:r>
        <w:separator/>
      </w:r>
    </w:p>
  </w:footnote>
  <w:footnote w:type="continuationSeparator" w:id="0">
    <w:p w14:paraId="2169CA8E" w14:textId="77777777" w:rsidR="00C10698" w:rsidRDefault="00C10698" w:rsidP="00FC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5597"/>
    <w:multiLevelType w:val="hybridMultilevel"/>
    <w:tmpl w:val="8522D7F6"/>
    <w:lvl w:ilvl="0" w:tplc="FFEC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77985"/>
    <w:multiLevelType w:val="hybridMultilevel"/>
    <w:tmpl w:val="A9CEC056"/>
    <w:lvl w:ilvl="0" w:tplc="1042EF9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54831">
    <w:abstractNumId w:val="1"/>
  </w:num>
  <w:num w:numId="2" w16cid:durableId="204651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2B"/>
    <w:rsid w:val="00023F3E"/>
    <w:rsid w:val="0004263D"/>
    <w:rsid w:val="00043ADC"/>
    <w:rsid w:val="00047CB7"/>
    <w:rsid w:val="00063FCD"/>
    <w:rsid w:val="000A554F"/>
    <w:rsid w:val="000B49EF"/>
    <w:rsid w:val="000C1639"/>
    <w:rsid w:val="000E407C"/>
    <w:rsid w:val="00112ED9"/>
    <w:rsid w:val="001240FF"/>
    <w:rsid w:val="00141192"/>
    <w:rsid w:val="00144A04"/>
    <w:rsid w:val="00146483"/>
    <w:rsid w:val="00156EC7"/>
    <w:rsid w:val="00177664"/>
    <w:rsid w:val="001A71B9"/>
    <w:rsid w:val="001A7465"/>
    <w:rsid w:val="001B4697"/>
    <w:rsid w:val="001D2195"/>
    <w:rsid w:val="00241600"/>
    <w:rsid w:val="00256409"/>
    <w:rsid w:val="00262124"/>
    <w:rsid w:val="00286635"/>
    <w:rsid w:val="002A63EE"/>
    <w:rsid w:val="002C200C"/>
    <w:rsid w:val="002E6428"/>
    <w:rsid w:val="002F7908"/>
    <w:rsid w:val="0030222B"/>
    <w:rsid w:val="00305661"/>
    <w:rsid w:val="00314641"/>
    <w:rsid w:val="00320277"/>
    <w:rsid w:val="003311D0"/>
    <w:rsid w:val="00332E5F"/>
    <w:rsid w:val="00340774"/>
    <w:rsid w:val="003428B3"/>
    <w:rsid w:val="003472E4"/>
    <w:rsid w:val="0035128D"/>
    <w:rsid w:val="003B1F4A"/>
    <w:rsid w:val="003B369D"/>
    <w:rsid w:val="003E1CC0"/>
    <w:rsid w:val="003E7CC7"/>
    <w:rsid w:val="003F244B"/>
    <w:rsid w:val="00417C8C"/>
    <w:rsid w:val="004515C0"/>
    <w:rsid w:val="00452B4E"/>
    <w:rsid w:val="004678C8"/>
    <w:rsid w:val="004734AF"/>
    <w:rsid w:val="00487876"/>
    <w:rsid w:val="004C74E7"/>
    <w:rsid w:val="004C7955"/>
    <w:rsid w:val="004D7444"/>
    <w:rsid w:val="004E1F4D"/>
    <w:rsid w:val="00507A2E"/>
    <w:rsid w:val="00513B2F"/>
    <w:rsid w:val="00526700"/>
    <w:rsid w:val="005327D8"/>
    <w:rsid w:val="005465BD"/>
    <w:rsid w:val="00547A83"/>
    <w:rsid w:val="00564F75"/>
    <w:rsid w:val="005826C9"/>
    <w:rsid w:val="005873C1"/>
    <w:rsid w:val="005A2236"/>
    <w:rsid w:val="005A6F13"/>
    <w:rsid w:val="00602DDD"/>
    <w:rsid w:val="00616469"/>
    <w:rsid w:val="00632FEE"/>
    <w:rsid w:val="00635D55"/>
    <w:rsid w:val="0064205E"/>
    <w:rsid w:val="006605D7"/>
    <w:rsid w:val="006677B5"/>
    <w:rsid w:val="006848AA"/>
    <w:rsid w:val="006C6CAD"/>
    <w:rsid w:val="00706119"/>
    <w:rsid w:val="007070C0"/>
    <w:rsid w:val="0072186A"/>
    <w:rsid w:val="0072609B"/>
    <w:rsid w:val="00727F8C"/>
    <w:rsid w:val="007815F0"/>
    <w:rsid w:val="007823A4"/>
    <w:rsid w:val="00790256"/>
    <w:rsid w:val="007C52C1"/>
    <w:rsid w:val="007D2959"/>
    <w:rsid w:val="007F4A52"/>
    <w:rsid w:val="00800533"/>
    <w:rsid w:val="00801F42"/>
    <w:rsid w:val="0080283D"/>
    <w:rsid w:val="0080468D"/>
    <w:rsid w:val="00813E45"/>
    <w:rsid w:val="00816B87"/>
    <w:rsid w:val="00826F39"/>
    <w:rsid w:val="008303CC"/>
    <w:rsid w:val="00835895"/>
    <w:rsid w:val="00836583"/>
    <w:rsid w:val="00867872"/>
    <w:rsid w:val="00882D4D"/>
    <w:rsid w:val="00891626"/>
    <w:rsid w:val="00896E12"/>
    <w:rsid w:val="00897317"/>
    <w:rsid w:val="008F09EB"/>
    <w:rsid w:val="00903057"/>
    <w:rsid w:val="00907D44"/>
    <w:rsid w:val="009145B8"/>
    <w:rsid w:val="009313A2"/>
    <w:rsid w:val="00933586"/>
    <w:rsid w:val="00943E6A"/>
    <w:rsid w:val="00950114"/>
    <w:rsid w:val="0095081E"/>
    <w:rsid w:val="009556C1"/>
    <w:rsid w:val="00974E39"/>
    <w:rsid w:val="00977D4B"/>
    <w:rsid w:val="00991508"/>
    <w:rsid w:val="009A7193"/>
    <w:rsid w:val="009A7747"/>
    <w:rsid w:val="009B16BA"/>
    <w:rsid w:val="009B2F83"/>
    <w:rsid w:val="009C2DB2"/>
    <w:rsid w:val="009C64B3"/>
    <w:rsid w:val="009D6709"/>
    <w:rsid w:val="009F7606"/>
    <w:rsid w:val="00A0048C"/>
    <w:rsid w:val="00A05D92"/>
    <w:rsid w:val="00A065D1"/>
    <w:rsid w:val="00A14753"/>
    <w:rsid w:val="00A26364"/>
    <w:rsid w:val="00A426A4"/>
    <w:rsid w:val="00A61DAB"/>
    <w:rsid w:val="00A635B5"/>
    <w:rsid w:val="00A704C6"/>
    <w:rsid w:val="00A75576"/>
    <w:rsid w:val="00A75A50"/>
    <w:rsid w:val="00AB4760"/>
    <w:rsid w:val="00AC1927"/>
    <w:rsid w:val="00AC3416"/>
    <w:rsid w:val="00AF5E2E"/>
    <w:rsid w:val="00B0260A"/>
    <w:rsid w:val="00B3286A"/>
    <w:rsid w:val="00B37A97"/>
    <w:rsid w:val="00B41A86"/>
    <w:rsid w:val="00B45A54"/>
    <w:rsid w:val="00B5471F"/>
    <w:rsid w:val="00B6277F"/>
    <w:rsid w:val="00B6774D"/>
    <w:rsid w:val="00B85E1D"/>
    <w:rsid w:val="00B90C3E"/>
    <w:rsid w:val="00B917C6"/>
    <w:rsid w:val="00B960A7"/>
    <w:rsid w:val="00BA4A0C"/>
    <w:rsid w:val="00BB5467"/>
    <w:rsid w:val="00BD049B"/>
    <w:rsid w:val="00BD2426"/>
    <w:rsid w:val="00BF5F50"/>
    <w:rsid w:val="00C00717"/>
    <w:rsid w:val="00C055FE"/>
    <w:rsid w:val="00C07314"/>
    <w:rsid w:val="00C10698"/>
    <w:rsid w:val="00C10E1D"/>
    <w:rsid w:val="00C1310C"/>
    <w:rsid w:val="00C16A15"/>
    <w:rsid w:val="00C22D28"/>
    <w:rsid w:val="00C26438"/>
    <w:rsid w:val="00C3791A"/>
    <w:rsid w:val="00C44CA3"/>
    <w:rsid w:val="00C51BC7"/>
    <w:rsid w:val="00C522EC"/>
    <w:rsid w:val="00C64516"/>
    <w:rsid w:val="00C646BC"/>
    <w:rsid w:val="00C64A73"/>
    <w:rsid w:val="00C73984"/>
    <w:rsid w:val="00C819FF"/>
    <w:rsid w:val="00C929AC"/>
    <w:rsid w:val="00CA18C3"/>
    <w:rsid w:val="00CA3C59"/>
    <w:rsid w:val="00CB68D8"/>
    <w:rsid w:val="00CB72AE"/>
    <w:rsid w:val="00CC33EA"/>
    <w:rsid w:val="00CE4AA4"/>
    <w:rsid w:val="00CE711B"/>
    <w:rsid w:val="00D15B1A"/>
    <w:rsid w:val="00D15EE4"/>
    <w:rsid w:val="00D2143C"/>
    <w:rsid w:val="00D21BA5"/>
    <w:rsid w:val="00D22744"/>
    <w:rsid w:val="00D32441"/>
    <w:rsid w:val="00D343EC"/>
    <w:rsid w:val="00D47EC7"/>
    <w:rsid w:val="00D60C1E"/>
    <w:rsid w:val="00D76ED7"/>
    <w:rsid w:val="00DA1D8F"/>
    <w:rsid w:val="00DB10E1"/>
    <w:rsid w:val="00DB5CCC"/>
    <w:rsid w:val="00DC7BA5"/>
    <w:rsid w:val="00DD5957"/>
    <w:rsid w:val="00DE2C44"/>
    <w:rsid w:val="00DE37B7"/>
    <w:rsid w:val="00E0235F"/>
    <w:rsid w:val="00E0696D"/>
    <w:rsid w:val="00E06BFA"/>
    <w:rsid w:val="00E12443"/>
    <w:rsid w:val="00E17AF1"/>
    <w:rsid w:val="00E26941"/>
    <w:rsid w:val="00E61D35"/>
    <w:rsid w:val="00E713E2"/>
    <w:rsid w:val="00E76C00"/>
    <w:rsid w:val="00E82A7A"/>
    <w:rsid w:val="00E92621"/>
    <w:rsid w:val="00ED46F7"/>
    <w:rsid w:val="00ED61B9"/>
    <w:rsid w:val="00EE6CE6"/>
    <w:rsid w:val="00F2684B"/>
    <w:rsid w:val="00F27EF8"/>
    <w:rsid w:val="00F470D6"/>
    <w:rsid w:val="00F5397B"/>
    <w:rsid w:val="00F62F6D"/>
    <w:rsid w:val="00F87C8C"/>
    <w:rsid w:val="00F969BF"/>
    <w:rsid w:val="00FB122A"/>
    <w:rsid w:val="00FC3B0E"/>
    <w:rsid w:val="00FC6F0D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5063"/>
  <w15:chartTrackingRefBased/>
  <w15:docId w15:val="{E378CADA-D2CF-8F4C-A611-9798242A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7B7"/>
  </w:style>
  <w:style w:type="character" w:styleId="Hyperlink">
    <w:name w:val="Hyperlink"/>
    <w:basedOn w:val="DefaultParagraphFont"/>
    <w:uiPriority w:val="99"/>
    <w:unhideWhenUsed/>
    <w:rsid w:val="00721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8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4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34AF"/>
  </w:style>
  <w:style w:type="paragraph" w:styleId="ListParagraph">
    <w:name w:val="List Paragraph"/>
    <w:basedOn w:val="Normal"/>
    <w:uiPriority w:val="34"/>
    <w:qFormat/>
    <w:rsid w:val="00DC7B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64F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3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1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vium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vium.be/fr/epargne-placements/vivium-sel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vium.be/fr/epargne-placements/epargne-et-placements-non-fiscau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9F87-711E-4DCF-AF4B-9D5F12902B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e30484-7a78-4250-97b8-a1718403fcb0}" enabled="1" method="Standard" siteId="{a7ec1e0f-51f6-4919-b640-eba8413c83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 Hartog Shirley</cp:lastModifiedBy>
  <cp:revision>4</cp:revision>
  <dcterms:created xsi:type="dcterms:W3CDTF">2024-01-22T09:41:00Z</dcterms:created>
  <dcterms:modified xsi:type="dcterms:W3CDTF">2024-01-23T11:00:00Z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30484-7a78-4250-97b8-a1718403fcb0_Enabled">
    <vt:lpwstr>true</vt:lpwstr>
  </property>
  <property fmtid="{D5CDD505-2E9C-101B-9397-08002B2CF9AE}" pid="3" name="MSIP_Label_ede30484-7a78-4250-97b8-a1718403fcb0_SetDate">
    <vt:lpwstr>2021-03-25T13:43:42Z</vt:lpwstr>
  </property>
  <property fmtid="{D5CDD505-2E9C-101B-9397-08002B2CF9AE}" pid="4" name="MSIP_Label_ede30484-7a78-4250-97b8-a1718403fcb0_Method">
    <vt:lpwstr>Standard</vt:lpwstr>
  </property>
  <property fmtid="{D5CDD505-2E9C-101B-9397-08002B2CF9AE}" pid="5" name="MSIP_Label_ede30484-7a78-4250-97b8-a1718403fcb0_Name">
    <vt:lpwstr>Share with care (TLP-Amber)</vt:lpwstr>
  </property>
  <property fmtid="{D5CDD505-2E9C-101B-9397-08002B2CF9AE}" pid="6" name="MSIP_Label_ede30484-7a78-4250-97b8-a1718403fcb0_SiteId">
    <vt:lpwstr>a7ec1e0f-51f6-4919-b640-eba8413c83ae</vt:lpwstr>
  </property>
  <property fmtid="{D5CDD505-2E9C-101B-9397-08002B2CF9AE}" pid="7" name="MSIP_Label_ede30484-7a78-4250-97b8-a1718403fcb0_ActionId">
    <vt:lpwstr>125eeba8-f8f1-4832-96c7-000055a47725</vt:lpwstr>
  </property>
  <property fmtid="{D5CDD505-2E9C-101B-9397-08002B2CF9AE}" pid="8" name="MSIP_Label_ede30484-7a78-4250-97b8-a1718403fcb0_ContentBits">
    <vt:lpwstr>0</vt:lpwstr>
  </property>
</Properties>
</file>